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tbl>
      <w:tblPr>
        <w:tblStyle w:val="a3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2257"/>
        <w:gridCol w:w="7088"/>
      </w:tblGrid>
      <w:tr w:rsidR="00B679A2" w:rsidTr="00B3485C">
        <w:tc>
          <w:tcPr>
            <w:tcW w:w="2263" w:type="dxa"/>
          </w:tcPr>
          <w:p w:rsidR="00B679A2" w:rsidRDefault="00B679A2" w:rsidP="0020485C">
            <w:bookmarkStart w:id="0" w:name="_GoBack"/>
            <w:bookmarkEnd w:id="0"/>
            <w:r>
              <w:rPr>
                <w:noProof/>
                <w:lang w:val="ru-RU" w:eastAsia="ru-RU"/>
              </w:rPr>
              <w:drawing>
                <wp:inline distT="0" distB="0" distL="0" distR="0" wp14:anchorId="50CFCBD7" wp14:editId="7FADBC75">
                  <wp:extent cx="1228571" cy="157142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571" cy="15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</w:tcPr>
          <w:p w:rsidR="00B679A2" w:rsidRDefault="00B679A2" w:rsidP="0020485C"/>
          <w:p w:rsidR="00B679A2" w:rsidRDefault="00B679A2" w:rsidP="002048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679A2" w:rsidRDefault="00B679A2" w:rsidP="00B679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79A2">
              <w:rPr>
                <w:rFonts w:ascii="Times New Roman" w:hAnsi="Times New Roman" w:cs="Times New Roman"/>
                <w:b/>
                <w:sz w:val="28"/>
              </w:rPr>
              <w:t>Рекомендації №(200</w:t>
            </w:r>
            <w:r w:rsidR="00306601">
              <w:rPr>
                <w:rFonts w:ascii="Times New Roman" w:hAnsi="Times New Roman" w:cs="Times New Roman"/>
                <w:b/>
                <w:sz w:val="28"/>
              </w:rPr>
              <w:t>0) 2</w:t>
            </w:r>
          </w:p>
          <w:p w:rsidR="00B679A2" w:rsidRPr="00B679A2" w:rsidRDefault="00B679A2" w:rsidP="00B679A2">
            <w:pPr>
              <w:jc w:val="center"/>
              <w:rPr>
                <w:i/>
              </w:rPr>
            </w:pPr>
            <w:r w:rsidRPr="00B679A2">
              <w:rPr>
                <w:rFonts w:ascii="Times New Roman" w:hAnsi="Times New Roman" w:cs="Times New Roman"/>
                <w:i/>
                <w:sz w:val="24"/>
              </w:rPr>
              <w:t>Комітету Міністрів Ради Європи державам-членам «Щодо повторного розгляду або відновлення провадження в певних справах на національному рівні після прийняття рішень Європейським судом з прав людини</w:t>
            </w:r>
            <w:r>
              <w:rPr>
                <w:rFonts w:ascii="Times New Roman" w:hAnsi="Times New Roman" w:cs="Times New Roman"/>
                <w:i/>
                <w:sz w:val="24"/>
              </w:rPr>
              <w:t>»</w:t>
            </w:r>
          </w:p>
          <w:p w:rsidR="00B679A2" w:rsidRDefault="00B679A2" w:rsidP="0020485C"/>
          <w:p w:rsidR="00B679A2" w:rsidRDefault="00B679A2" w:rsidP="0020485C"/>
        </w:tc>
      </w:tr>
    </w:tbl>
    <w:p w:rsidR="00B679A2" w:rsidRDefault="00B679A2">
      <w:pPr>
        <w:rPr>
          <w:rFonts w:ascii="Times New Roman" w:hAnsi="Times New Roman" w:cs="Times New Roman"/>
          <w:sz w:val="24"/>
        </w:rPr>
      </w:pPr>
    </w:p>
    <w:p w:rsidR="00BA4EAA" w:rsidRPr="00213708" w:rsidRDefault="000B6789" w:rsidP="002137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На певному етапі розвитку механізму ефективного застосування міжнародних стандартів прав людини, перед </w:t>
      </w:r>
      <w:r w:rsidR="00FF231B">
        <w:rPr>
          <w:rFonts w:ascii="Times New Roman" w:hAnsi="Times New Roman" w:cs="Times New Roman"/>
          <w:sz w:val="24"/>
        </w:rPr>
        <w:t xml:space="preserve">європейськими </w:t>
      </w:r>
      <w:r>
        <w:rPr>
          <w:rFonts w:ascii="Times New Roman" w:hAnsi="Times New Roman" w:cs="Times New Roman"/>
          <w:sz w:val="24"/>
        </w:rPr>
        <w:t>країнами, постало цілком логічне та зважене питання щодо відновлення</w:t>
      </w:r>
      <w:r w:rsidR="004E4530">
        <w:rPr>
          <w:rFonts w:ascii="Times New Roman" w:hAnsi="Times New Roman" w:cs="Times New Roman"/>
          <w:sz w:val="24"/>
        </w:rPr>
        <w:t xml:space="preserve"> судових процесів після встановлення Європейським судом з прав людини </w:t>
      </w:r>
      <w:r w:rsidR="004E4530" w:rsidRPr="00213708">
        <w:rPr>
          <w:rFonts w:ascii="Times New Roman" w:hAnsi="Times New Roman" w:cs="Times New Roman"/>
          <w:sz w:val="24"/>
          <w:szCs w:val="24"/>
        </w:rPr>
        <w:t xml:space="preserve">факту порушення конвенційних прав людини. </w:t>
      </w:r>
      <w:r w:rsidR="003401AC" w:rsidRPr="00213708">
        <w:rPr>
          <w:rFonts w:ascii="Times New Roman" w:hAnsi="Times New Roman" w:cs="Times New Roman"/>
          <w:sz w:val="24"/>
          <w:szCs w:val="24"/>
        </w:rPr>
        <w:t xml:space="preserve">Розглядаючи це питання слід наголосити, що присуджена Європейським судом з прав людини справедлива сатисфакція є лише компенсацією за порушене конвенційне право, але аж ніяк не є «крапкою» у </w:t>
      </w:r>
      <w:r w:rsidRPr="00213708">
        <w:rPr>
          <w:rFonts w:ascii="Times New Roman" w:hAnsi="Times New Roman" w:cs="Times New Roman"/>
          <w:sz w:val="24"/>
          <w:szCs w:val="24"/>
        </w:rPr>
        <w:t xml:space="preserve"> </w:t>
      </w:r>
      <w:r w:rsidR="003401AC" w:rsidRPr="00213708">
        <w:rPr>
          <w:rFonts w:ascii="Times New Roman" w:hAnsi="Times New Roman" w:cs="Times New Roman"/>
          <w:sz w:val="24"/>
          <w:szCs w:val="24"/>
        </w:rPr>
        <w:t xml:space="preserve">судовому розгляді справи метою якого повинно стати досягнення справедливості, в розумінні принципу верховенства права та принципу законності. </w:t>
      </w:r>
      <w:r w:rsidRPr="00213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601" w:rsidRDefault="00213708" w:rsidP="003066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708">
        <w:rPr>
          <w:rFonts w:ascii="Times New Roman" w:hAnsi="Times New Roman" w:cs="Times New Roman"/>
          <w:sz w:val="24"/>
          <w:szCs w:val="24"/>
        </w:rPr>
        <w:t xml:space="preserve">Відновлення судового провадження на підставі </w:t>
      </w:r>
      <w:r w:rsidR="00306601">
        <w:rPr>
          <w:rFonts w:ascii="Times New Roman" w:hAnsi="Times New Roman" w:cs="Times New Roman"/>
          <w:sz w:val="24"/>
          <w:szCs w:val="24"/>
        </w:rPr>
        <w:t>судових прецедентів</w:t>
      </w:r>
      <w:r w:rsidRPr="00213708">
        <w:rPr>
          <w:rFonts w:ascii="Times New Roman" w:hAnsi="Times New Roman" w:cs="Times New Roman"/>
          <w:sz w:val="24"/>
          <w:szCs w:val="24"/>
        </w:rPr>
        <w:t xml:space="preserve"> </w:t>
      </w:r>
      <w:r w:rsidR="00306601" w:rsidRPr="00213708">
        <w:rPr>
          <w:rFonts w:ascii="Times New Roman" w:hAnsi="Times New Roman" w:cs="Times New Roman"/>
          <w:sz w:val="24"/>
          <w:szCs w:val="24"/>
        </w:rPr>
        <w:t>Європейськ</w:t>
      </w:r>
      <w:r w:rsidR="00306601">
        <w:rPr>
          <w:rFonts w:ascii="Times New Roman" w:hAnsi="Times New Roman" w:cs="Times New Roman"/>
          <w:sz w:val="24"/>
          <w:szCs w:val="24"/>
        </w:rPr>
        <w:t>ого</w:t>
      </w:r>
      <w:r w:rsidR="00306601" w:rsidRPr="00213708">
        <w:rPr>
          <w:rFonts w:ascii="Times New Roman" w:hAnsi="Times New Roman" w:cs="Times New Roman"/>
          <w:sz w:val="24"/>
          <w:szCs w:val="24"/>
        </w:rPr>
        <w:t xml:space="preserve"> суд</w:t>
      </w:r>
      <w:r w:rsidR="00306601">
        <w:rPr>
          <w:rFonts w:ascii="Times New Roman" w:hAnsi="Times New Roman" w:cs="Times New Roman"/>
          <w:sz w:val="24"/>
          <w:szCs w:val="24"/>
        </w:rPr>
        <w:t>у</w:t>
      </w:r>
      <w:r w:rsidR="00306601" w:rsidRPr="00213708">
        <w:rPr>
          <w:rFonts w:ascii="Times New Roman" w:hAnsi="Times New Roman" w:cs="Times New Roman"/>
          <w:sz w:val="24"/>
          <w:szCs w:val="24"/>
        </w:rPr>
        <w:t xml:space="preserve"> з прав людини </w:t>
      </w:r>
      <w:r w:rsidRPr="00213708">
        <w:rPr>
          <w:rFonts w:ascii="Times New Roman" w:hAnsi="Times New Roman" w:cs="Times New Roman"/>
          <w:sz w:val="24"/>
          <w:szCs w:val="24"/>
        </w:rPr>
        <w:t xml:space="preserve">є одним із найбільш ефективних, а </w:t>
      </w:r>
      <w:r w:rsidR="00306601">
        <w:rPr>
          <w:rFonts w:ascii="Times New Roman" w:hAnsi="Times New Roman" w:cs="Times New Roman"/>
          <w:sz w:val="24"/>
          <w:szCs w:val="24"/>
        </w:rPr>
        <w:t xml:space="preserve">подекуди </w:t>
      </w:r>
      <w:r w:rsidRPr="00213708">
        <w:rPr>
          <w:rFonts w:ascii="Times New Roman" w:hAnsi="Times New Roman" w:cs="Times New Roman"/>
          <w:sz w:val="24"/>
          <w:szCs w:val="24"/>
        </w:rPr>
        <w:t xml:space="preserve">і єдиним заходом для відновлення порушених прав особи та вдосконалення практики національних судів і забезпечення повного й ефективного виконання рішень </w:t>
      </w:r>
      <w:r w:rsidR="00306601" w:rsidRPr="00213708">
        <w:rPr>
          <w:rFonts w:ascii="Times New Roman" w:hAnsi="Times New Roman" w:cs="Times New Roman"/>
          <w:sz w:val="24"/>
          <w:szCs w:val="24"/>
        </w:rPr>
        <w:t>Європейськ</w:t>
      </w:r>
      <w:r w:rsidR="00306601">
        <w:rPr>
          <w:rFonts w:ascii="Times New Roman" w:hAnsi="Times New Roman" w:cs="Times New Roman"/>
          <w:sz w:val="24"/>
          <w:szCs w:val="24"/>
        </w:rPr>
        <w:t>ого</w:t>
      </w:r>
      <w:r w:rsidR="00306601" w:rsidRPr="00213708">
        <w:rPr>
          <w:rFonts w:ascii="Times New Roman" w:hAnsi="Times New Roman" w:cs="Times New Roman"/>
          <w:sz w:val="24"/>
          <w:szCs w:val="24"/>
        </w:rPr>
        <w:t xml:space="preserve"> суд</w:t>
      </w:r>
      <w:r w:rsidR="00306601">
        <w:rPr>
          <w:rFonts w:ascii="Times New Roman" w:hAnsi="Times New Roman" w:cs="Times New Roman"/>
          <w:sz w:val="24"/>
          <w:szCs w:val="24"/>
        </w:rPr>
        <w:t>у</w:t>
      </w:r>
      <w:r w:rsidR="00306601" w:rsidRPr="00213708">
        <w:rPr>
          <w:rFonts w:ascii="Times New Roman" w:hAnsi="Times New Roman" w:cs="Times New Roman"/>
          <w:sz w:val="24"/>
          <w:szCs w:val="24"/>
        </w:rPr>
        <w:t xml:space="preserve"> з прав людини</w:t>
      </w:r>
      <w:r w:rsidR="00306601">
        <w:rPr>
          <w:rFonts w:ascii="Times New Roman" w:hAnsi="Times New Roman" w:cs="Times New Roman"/>
          <w:sz w:val="24"/>
          <w:szCs w:val="24"/>
        </w:rPr>
        <w:t xml:space="preserve">. Безумовно, рішення </w:t>
      </w:r>
      <w:r w:rsidR="00306601" w:rsidRPr="00213708">
        <w:rPr>
          <w:rFonts w:ascii="Times New Roman" w:hAnsi="Times New Roman" w:cs="Times New Roman"/>
          <w:sz w:val="24"/>
          <w:szCs w:val="24"/>
        </w:rPr>
        <w:t>Європейськ</w:t>
      </w:r>
      <w:r w:rsidR="00306601">
        <w:rPr>
          <w:rFonts w:ascii="Times New Roman" w:hAnsi="Times New Roman" w:cs="Times New Roman"/>
          <w:sz w:val="24"/>
          <w:szCs w:val="24"/>
        </w:rPr>
        <w:t>ого</w:t>
      </w:r>
      <w:r w:rsidR="00306601" w:rsidRPr="00213708">
        <w:rPr>
          <w:rFonts w:ascii="Times New Roman" w:hAnsi="Times New Roman" w:cs="Times New Roman"/>
          <w:sz w:val="24"/>
          <w:szCs w:val="24"/>
        </w:rPr>
        <w:t xml:space="preserve"> суд</w:t>
      </w:r>
      <w:r w:rsidR="00306601">
        <w:rPr>
          <w:rFonts w:ascii="Times New Roman" w:hAnsi="Times New Roman" w:cs="Times New Roman"/>
          <w:sz w:val="24"/>
          <w:szCs w:val="24"/>
        </w:rPr>
        <w:t>у</w:t>
      </w:r>
      <w:r w:rsidR="00306601" w:rsidRPr="00213708">
        <w:rPr>
          <w:rFonts w:ascii="Times New Roman" w:hAnsi="Times New Roman" w:cs="Times New Roman"/>
          <w:sz w:val="24"/>
          <w:szCs w:val="24"/>
        </w:rPr>
        <w:t xml:space="preserve"> з прав людини</w:t>
      </w:r>
      <w:r w:rsidR="00306601">
        <w:rPr>
          <w:rFonts w:ascii="Times New Roman" w:hAnsi="Times New Roman" w:cs="Times New Roman"/>
          <w:sz w:val="24"/>
          <w:szCs w:val="24"/>
        </w:rPr>
        <w:t xml:space="preserve"> може бути ефективним інструментом адвокації прав людини на національному рівні, але це не є предметом цієї статті.</w:t>
      </w:r>
    </w:p>
    <w:p w:rsidR="00875F7F" w:rsidRPr="00B03F72" w:rsidRDefault="00306601" w:rsidP="00875F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F72">
        <w:rPr>
          <w:rFonts w:ascii="Times New Roman" w:hAnsi="Times New Roman" w:cs="Times New Roman"/>
          <w:sz w:val="24"/>
          <w:szCs w:val="24"/>
        </w:rPr>
        <w:t xml:space="preserve">Повертаючись до теми відновлення національного судочинства на підставі рішення  Європейського суду з прав людини, слід згадати та зупинитись на міжнародних документах Європейського Союзу, зокрема Рекомендаціях №(2002) 2 Комітету Міністрів Ради Європи державам-членам «Щодо повторного розгляду або відновлення провадження в певних справах на національному рівні після прийняття рішень Європейським судом з прав людини», які були прийняті Комітетом міністрів на 694-му засіданні заступників міністрів </w:t>
      </w:r>
      <w:r w:rsidR="00F34610" w:rsidRPr="00B03F72">
        <w:rPr>
          <w:rFonts w:ascii="Times New Roman" w:hAnsi="Times New Roman" w:cs="Times New Roman"/>
          <w:sz w:val="24"/>
          <w:szCs w:val="24"/>
        </w:rPr>
        <w:t>від 19 січня 2000 року</w:t>
      </w:r>
      <w:r w:rsidR="00875F7F" w:rsidRPr="00B03F72">
        <w:rPr>
          <w:rFonts w:ascii="Times New Roman" w:hAnsi="Times New Roman" w:cs="Times New Roman"/>
          <w:sz w:val="24"/>
          <w:szCs w:val="24"/>
        </w:rPr>
        <w:t>.</w:t>
      </w:r>
    </w:p>
    <w:p w:rsidR="00875F7F" w:rsidRPr="00B03F72" w:rsidRDefault="00306601" w:rsidP="00875F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F72">
        <w:rPr>
          <w:rFonts w:ascii="Times New Roman" w:hAnsi="Times New Roman" w:cs="Times New Roman"/>
          <w:sz w:val="24"/>
          <w:szCs w:val="24"/>
        </w:rPr>
        <w:t xml:space="preserve">Відповідно до цих рекомендацій державам-учасникам </w:t>
      </w:r>
      <w:r w:rsidR="00875F7F" w:rsidRPr="00B03F72">
        <w:rPr>
          <w:rFonts w:ascii="Times New Roman" w:hAnsi="Times New Roman" w:cs="Times New Roman"/>
          <w:sz w:val="24"/>
          <w:szCs w:val="24"/>
        </w:rPr>
        <w:t>були надані рекомендації, які спрямовані на створення дієвого національного механізму з відновлення судових проваджень на підставі встановлених рішенням Європейського суду з прав людини порушень міжнародних стандартів прав людини.</w:t>
      </w:r>
    </w:p>
    <w:p w:rsidR="00B03F72" w:rsidRPr="00B03F72" w:rsidRDefault="00875F7F" w:rsidP="00B03F72">
      <w:pPr>
        <w:spacing w:after="0"/>
        <w:ind w:firstLine="709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B03F72">
        <w:rPr>
          <w:rFonts w:ascii="Times New Roman" w:hAnsi="Times New Roman" w:cs="Times New Roman"/>
          <w:sz w:val="24"/>
          <w:szCs w:val="24"/>
        </w:rPr>
        <w:t xml:space="preserve">Рекомендації в собі мають зворотну дію у часі, оскільки  значною мірою покращують стан дотримання прав людини, так в разі прийняття рекомендації, коли справи ще перебувають у судовому провадженні,  принципи цієї рекомендації на ці справи все одно поширюватимуться. </w:t>
      </w:r>
      <w:r w:rsidR="00FF0E96" w:rsidRPr="00B03F72">
        <w:rPr>
          <w:rFonts w:ascii="Times New Roman" w:hAnsi="Times New Roman" w:cs="Times New Roman"/>
          <w:sz w:val="24"/>
          <w:szCs w:val="24"/>
        </w:rPr>
        <w:t xml:space="preserve">Зазначені нижче рекомендації №(2002) 2 Комітету Міністрів Ради Європи державам-членам спрямовані на досягнення мети принципу </w:t>
      </w:r>
      <w:r w:rsidR="00FF0E96" w:rsidRPr="00B03F72">
        <w:rPr>
          <w:rStyle w:val="tlid-translation"/>
          <w:rFonts w:ascii="Times New Roman" w:hAnsi="Times New Roman" w:cs="Times New Roman"/>
          <w:i/>
          <w:sz w:val="24"/>
          <w:szCs w:val="24"/>
        </w:rPr>
        <w:t>restitutio in</w:t>
      </w:r>
      <w:r w:rsidR="00FF0E96" w:rsidRPr="00B03F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0E96" w:rsidRPr="00B03F72">
        <w:rPr>
          <w:rStyle w:val="tlid-translation"/>
          <w:rFonts w:ascii="Times New Roman" w:hAnsi="Times New Roman" w:cs="Times New Roman"/>
          <w:i/>
          <w:sz w:val="24"/>
          <w:szCs w:val="24"/>
        </w:rPr>
        <w:t>integrum</w:t>
      </w:r>
      <w:r w:rsidR="00FF0E96" w:rsidRPr="00B03F72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FF0E96" w:rsidRPr="00B03F7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(відновлення правового становища заявника настільки, наскільки це можливо, до того ж стану, в якому воно перебувало до порушення конвенції) на національному рівні держави-учасниці Європейської конвенції прав людини. </w:t>
      </w:r>
      <w:r w:rsidR="009324FA" w:rsidRPr="00B03F7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Вперше принцип </w:t>
      </w:r>
      <w:r w:rsidR="009324FA" w:rsidRPr="00B03F72">
        <w:rPr>
          <w:rStyle w:val="tlid-translation"/>
          <w:rFonts w:ascii="Times New Roman" w:hAnsi="Times New Roman" w:cs="Times New Roman"/>
          <w:i/>
          <w:sz w:val="24"/>
          <w:szCs w:val="24"/>
        </w:rPr>
        <w:t>restitutio in</w:t>
      </w:r>
      <w:r w:rsidR="009324FA" w:rsidRPr="00B03F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24FA" w:rsidRPr="00B03F72">
        <w:rPr>
          <w:rStyle w:val="tlid-translation"/>
          <w:rFonts w:ascii="Times New Roman" w:hAnsi="Times New Roman" w:cs="Times New Roman"/>
          <w:i/>
          <w:sz w:val="24"/>
          <w:szCs w:val="24"/>
        </w:rPr>
        <w:t>integrum</w:t>
      </w:r>
      <w:r w:rsidR="009324FA" w:rsidRPr="00B03F72">
        <w:rPr>
          <w:rStyle w:val="tlid-translation"/>
          <w:rFonts w:ascii="Times New Roman" w:hAnsi="Times New Roman" w:cs="Times New Roman"/>
          <w:sz w:val="24"/>
          <w:szCs w:val="24"/>
        </w:rPr>
        <w:t xml:space="preserve"> було застосовано Європейським судом з прав людини у</w:t>
      </w:r>
      <w:r w:rsidR="00FF0E96" w:rsidRPr="00B03F7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гучній справі «Папаміхалопулос та інші проти Греції», яка стосувалася незаконної експропріації.</w:t>
      </w:r>
    </w:p>
    <w:p w:rsidR="00B03F72" w:rsidRDefault="00B03F72" w:rsidP="00B03F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F72">
        <w:rPr>
          <w:rFonts w:ascii="Times New Roman" w:hAnsi="Times New Roman" w:cs="Times New Roman"/>
          <w:sz w:val="24"/>
          <w:szCs w:val="24"/>
        </w:rPr>
        <w:t xml:space="preserve">Зобов'язання </w:t>
      </w:r>
      <w:r w:rsidRPr="00B03F72">
        <w:rPr>
          <w:rFonts w:ascii="Times New Roman" w:hAnsi="Times New Roman" w:cs="Times New Roman"/>
          <w:i/>
          <w:sz w:val="24"/>
          <w:szCs w:val="24"/>
        </w:rPr>
        <w:t>restitutio in integrum</w:t>
      </w:r>
      <w:r w:rsidRPr="00B03F72">
        <w:rPr>
          <w:rFonts w:ascii="Times New Roman" w:hAnsi="Times New Roman" w:cs="Times New Roman"/>
          <w:sz w:val="24"/>
          <w:szCs w:val="24"/>
        </w:rPr>
        <w:t xml:space="preserve"> завжди привертало до себе особливу увагу, як в загальному міжнародному праві, так і в рамках Європейської конвенції з прав людини, тому </w:t>
      </w:r>
      <w:r w:rsidRPr="00B03F72">
        <w:rPr>
          <w:rFonts w:ascii="Times New Roman" w:hAnsi="Times New Roman" w:cs="Times New Roman"/>
          <w:sz w:val="24"/>
          <w:szCs w:val="24"/>
        </w:rPr>
        <w:lastRenderedPageBreak/>
        <w:t xml:space="preserve">що воно логічно випливає з теорії права, представляючи собою невід'ємний елемент ефективної санкції за протиправне діяння з метою якомога повнішого відновлення </w:t>
      </w:r>
      <w:r w:rsidRPr="00B03F72">
        <w:rPr>
          <w:rFonts w:ascii="Times New Roman" w:hAnsi="Times New Roman" w:cs="Times New Roman"/>
          <w:i/>
          <w:sz w:val="24"/>
          <w:szCs w:val="24"/>
        </w:rPr>
        <w:t>status quo ante</w:t>
      </w:r>
      <w:r w:rsidRPr="00B03F72">
        <w:rPr>
          <w:rFonts w:ascii="Times New Roman" w:hAnsi="Times New Roman" w:cs="Times New Roman"/>
          <w:sz w:val="24"/>
          <w:szCs w:val="24"/>
        </w:rPr>
        <w:t>, тобто стану речей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F72">
        <w:rPr>
          <w:rFonts w:ascii="Times New Roman" w:hAnsi="Times New Roman" w:cs="Times New Roman"/>
          <w:sz w:val="24"/>
          <w:szCs w:val="24"/>
        </w:rPr>
        <w:t>вчинення правопорушення.</w:t>
      </w:r>
    </w:p>
    <w:p w:rsidR="00B03F72" w:rsidRDefault="00B03F72" w:rsidP="00B03F72">
      <w:pPr>
        <w:spacing w:after="0"/>
        <w:ind w:firstLine="709"/>
        <w:jc w:val="both"/>
        <w:rPr>
          <w:rStyle w:val="tlid-translation"/>
          <w:rFonts w:ascii="Times New Roman" w:hAnsi="Times New Roman" w:cs="Times New Roman"/>
          <w:sz w:val="24"/>
        </w:rPr>
      </w:pPr>
      <w:r w:rsidRPr="00B03F72">
        <w:rPr>
          <w:rStyle w:val="tlid-translation"/>
          <w:rFonts w:ascii="Times New Roman" w:hAnsi="Times New Roman" w:cs="Times New Roman"/>
          <w:i/>
          <w:sz w:val="24"/>
        </w:rPr>
        <w:t>Restitutio in</w:t>
      </w:r>
      <w:r w:rsidRPr="00B03F72">
        <w:rPr>
          <w:rFonts w:ascii="Times New Roman" w:hAnsi="Times New Roman" w:cs="Times New Roman"/>
          <w:i/>
          <w:sz w:val="24"/>
        </w:rPr>
        <w:t xml:space="preserve"> </w:t>
      </w:r>
      <w:r w:rsidRPr="00B03F72">
        <w:rPr>
          <w:rStyle w:val="tlid-translation"/>
          <w:rFonts w:ascii="Times New Roman" w:hAnsi="Times New Roman" w:cs="Times New Roman"/>
          <w:i/>
          <w:sz w:val="24"/>
        </w:rPr>
        <w:t>integrum</w:t>
      </w:r>
      <w:r w:rsidRPr="00B03F72">
        <w:rPr>
          <w:rStyle w:val="tlid-translation"/>
          <w:rFonts w:ascii="Times New Roman" w:hAnsi="Times New Roman" w:cs="Times New Roman"/>
          <w:sz w:val="24"/>
        </w:rPr>
        <w:t xml:space="preserve"> </w:t>
      </w:r>
      <w:r w:rsidR="0051036C">
        <w:rPr>
          <w:rStyle w:val="tlid-translation"/>
          <w:rFonts w:ascii="Times New Roman" w:hAnsi="Times New Roman" w:cs="Times New Roman"/>
          <w:sz w:val="24"/>
        </w:rPr>
        <w:t>–</w:t>
      </w:r>
      <w:r w:rsidRPr="00B03F72">
        <w:rPr>
          <w:rStyle w:val="tlid-translation"/>
          <w:rFonts w:ascii="Times New Roman" w:hAnsi="Times New Roman" w:cs="Times New Roman"/>
          <w:sz w:val="24"/>
        </w:rPr>
        <w:t xml:space="preserve"> </w:t>
      </w:r>
      <w:r w:rsidR="0051036C">
        <w:rPr>
          <w:rStyle w:val="tlid-translation"/>
          <w:rFonts w:ascii="Times New Roman" w:hAnsi="Times New Roman" w:cs="Times New Roman"/>
          <w:sz w:val="24"/>
        </w:rPr>
        <w:t>має характер</w:t>
      </w:r>
      <w:r w:rsidRPr="00B03F72">
        <w:rPr>
          <w:rStyle w:val="tlid-translation"/>
          <w:rFonts w:ascii="Times New Roman" w:hAnsi="Times New Roman" w:cs="Times New Roman"/>
          <w:sz w:val="24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</w:rPr>
        <w:t>урочист</w:t>
      </w:r>
      <w:r w:rsidR="0051036C">
        <w:rPr>
          <w:rStyle w:val="tlid-translation"/>
          <w:rFonts w:ascii="Times New Roman" w:hAnsi="Times New Roman" w:cs="Times New Roman"/>
          <w:sz w:val="24"/>
        </w:rPr>
        <w:t>ості</w:t>
      </w:r>
      <w:r w:rsidRPr="00B03F72">
        <w:rPr>
          <w:rStyle w:val="tlid-translation"/>
          <w:rFonts w:ascii="Times New Roman" w:hAnsi="Times New Roman" w:cs="Times New Roman"/>
          <w:sz w:val="24"/>
        </w:rPr>
        <w:t xml:space="preserve"> права в</w:t>
      </w:r>
      <w:r>
        <w:rPr>
          <w:rFonts w:ascii="Times New Roman" w:hAnsi="Times New Roman" w:cs="Times New Roman"/>
          <w:sz w:val="24"/>
        </w:rPr>
        <w:t xml:space="preserve"> </w:t>
      </w:r>
      <w:r w:rsidRPr="00B03F72">
        <w:rPr>
          <w:rStyle w:val="tlid-translation"/>
          <w:rFonts w:ascii="Times New Roman" w:hAnsi="Times New Roman" w:cs="Times New Roman"/>
          <w:sz w:val="24"/>
        </w:rPr>
        <w:t>конкретн</w:t>
      </w:r>
      <w:r>
        <w:rPr>
          <w:rStyle w:val="tlid-translation"/>
          <w:rFonts w:ascii="Times New Roman" w:hAnsi="Times New Roman" w:cs="Times New Roman"/>
          <w:sz w:val="24"/>
        </w:rPr>
        <w:t>ій</w:t>
      </w:r>
      <w:r w:rsidRPr="00B03F72">
        <w:rPr>
          <w:rStyle w:val="tlid-translation"/>
          <w:rFonts w:ascii="Times New Roman" w:hAnsi="Times New Roman" w:cs="Times New Roman"/>
          <w:sz w:val="24"/>
        </w:rPr>
        <w:t xml:space="preserve"> ситуації, реалізація</w:t>
      </w:r>
      <w:r>
        <w:rPr>
          <w:rFonts w:ascii="Times New Roman" w:hAnsi="Times New Roman" w:cs="Times New Roman"/>
          <w:sz w:val="24"/>
        </w:rPr>
        <w:t xml:space="preserve"> </w:t>
      </w:r>
      <w:r w:rsidRPr="00B03F72">
        <w:rPr>
          <w:rStyle w:val="tlid-translation"/>
          <w:rFonts w:ascii="Times New Roman" w:hAnsi="Times New Roman" w:cs="Times New Roman"/>
          <w:sz w:val="24"/>
        </w:rPr>
        <w:t>його верховенства над протиправним фактом. З огляду на що</w:t>
      </w:r>
      <w:r>
        <w:rPr>
          <w:rStyle w:val="tlid-translation"/>
          <w:rFonts w:ascii="Times New Roman" w:hAnsi="Times New Roman" w:cs="Times New Roman"/>
          <w:sz w:val="24"/>
        </w:rPr>
        <w:t>,</w:t>
      </w:r>
      <w:r w:rsidRPr="00B03F72">
        <w:rPr>
          <w:rStyle w:val="tlid-translation"/>
          <w:rFonts w:ascii="Times New Roman" w:hAnsi="Times New Roman" w:cs="Times New Roman"/>
          <w:sz w:val="24"/>
        </w:rPr>
        <w:t xml:space="preserve"> реалізація такого верховенства в міжнародному праві на відміну від</w:t>
      </w:r>
      <w:r>
        <w:rPr>
          <w:rFonts w:ascii="Times New Roman" w:hAnsi="Times New Roman" w:cs="Times New Roman"/>
          <w:sz w:val="24"/>
        </w:rPr>
        <w:t xml:space="preserve"> </w:t>
      </w:r>
      <w:r w:rsidRPr="00B03F72">
        <w:rPr>
          <w:rStyle w:val="tlid-translation"/>
          <w:rFonts w:ascii="Times New Roman" w:hAnsi="Times New Roman" w:cs="Times New Roman"/>
          <w:sz w:val="24"/>
        </w:rPr>
        <w:t>внутрішньодержавного права, часто ставлять проблему, утвердження принципу</w:t>
      </w:r>
      <w:r>
        <w:rPr>
          <w:rFonts w:ascii="Times New Roman" w:hAnsi="Times New Roman" w:cs="Times New Roman"/>
          <w:sz w:val="24"/>
        </w:rPr>
        <w:t xml:space="preserve"> </w:t>
      </w:r>
      <w:r w:rsidRPr="00B03F72">
        <w:rPr>
          <w:rStyle w:val="tlid-translation"/>
          <w:rFonts w:ascii="Times New Roman" w:hAnsi="Times New Roman" w:cs="Times New Roman"/>
          <w:i/>
          <w:sz w:val="24"/>
        </w:rPr>
        <w:t>restitutio in integrum</w:t>
      </w:r>
      <w:r w:rsidRPr="00B03F72">
        <w:rPr>
          <w:rStyle w:val="tlid-translation"/>
          <w:rFonts w:ascii="Times New Roman" w:hAnsi="Times New Roman" w:cs="Times New Roman"/>
          <w:sz w:val="24"/>
        </w:rPr>
        <w:t xml:space="preserve"> в міру розвитку між</w:t>
      </w:r>
      <w:r>
        <w:rPr>
          <w:rStyle w:val="tlid-translation"/>
          <w:rFonts w:ascii="Times New Roman" w:hAnsi="Times New Roman" w:cs="Times New Roman"/>
          <w:sz w:val="24"/>
        </w:rPr>
        <w:t>на</w:t>
      </w:r>
      <w:r w:rsidRPr="00B03F72">
        <w:rPr>
          <w:rStyle w:val="tlid-translation"/>
          <w:rFonts w:ascii="Times New Roman" w:hAnsi="Times New Roman" w:cs="Times New Roman"/>
          <w:sz w:val="24"/>
        </w:rPr>
        <w:t>родного правосуддя</w:t>
      </w:r>
      <w:r>
        <w:rPr>
          <w:rStyle w:val="tlid-translation"/>
          <w:rFonts w:ascii="Times New Roman" w:hAnsi="Times New Roman" w:cs="Times New Roman"/>
          <w:sz w:val="24"/>
        </w:rPr>
        <w:t xml:space="preserve">, як </w:t>
      </w:r>
      <w:r w:rsidRPr="00B03F72">
        <w:rPr>
          <w:rStyle w:val="tlid-translation"/>
          <w:rFonts w:ascii="Times New Roman" w:hAnsi="Times New Roman" w:cs="Times New Roman"/>
          <w:sz w:val="24"/>
        </w:rPr>
        <w:t>ефективну правову систему.</w:t>
      </w:r>
    </w:p>
    <w:p w:rsidR="006F40C2" w:rsidRDefault="006F40C2" w:rsidP="00B03F72">
      <w:pPr>
        <w:spacing w:after="0"/>
        <w:ind w:firstLine="709"/>
        <w:jc w:val="both"/>
        <w:rPr>
          <w:rStyle w:val="tlid-translation"/>
          <w:rFonts w:ascii="Times New Roman" w:hAnsi="Times New Roman" w:cs="Times New Roman"/>
          <w:sz w:val="24"/>
        </w:rPr>
      </w:pPr>
      <w:r w:rsidRPr="006F40C2">
        <w:rPr>
          <w:rStyle w:val="tlid-translation"/>
          <w:rFonts w:ascii="Times New Roman" w:hAnsi="Times New Roman" w:cs="Times New Roman"/>
          <w:sz w:val="24"/>
        </w:rPr>
        <w:t xml:space="preserve">Принцип </w:t>
      </w:r>
      <w:r w:rsidRPr="001010E2">
        <w:rPr>
          <w:rStyle w:val="tlid-translation"/>
          <w:rFonts w:ascii="Times New Roman" w:hAnsi="Times New Roman" w:cs="Times New Roman"/>
          <w:i/>
          <w:sz w:val="24"/>
        </w:rPr>
        <w:t>restitutio</w:t>
      </w:r>
      <w:r w:rsidRPr="001010E2">
        <w:rPr>
          <w:rFonts w:ascii="Times New Roman" w:hAnsi="Times New Roman" w:cs="Times New Roman"/>
          <w:i/>
          <w:sz w:val="24"/>
        </w:rPr>
        <w:t xml:space="preserve"> </w:t>
      </w:r>
      <w:r w:rsidRPr="001010E2">
        <w:rPr>
          <w:rStyle w:val="tlid-translation"/>
          <w:rFonts w:ascii="Times New Roman" w:hAnsi="Times New Roman" w:cs="Times New Roman"/>
          <w:i/>
          <w:sz w:val="24"/>
        </w:rPr>
        <w:t>in integrum</w:t>
      </w:r>
      <w:r w:rsidRPr="006F40C2">
        <w:rPr>
          <w:rStyle w:val="tlid-translation"/>
          <w:rFonts w:ascii="Times New Roman" w:hAnsi="Times New Roman" w:cs="Times New Roman"/>
          <w:sz w:val="24"/>
        </w:rPr>
        <w:t xml:space="preserve"> знайшов застосування майже по всьому спектру прав</w:t>
      </w:r>
      <w:r w:rsidR="001010E2">
        <w:rPr>
          <w:rStyle w:val="tlid-translation"/>
          <w:rFonts w:ascii="Times New Roman" w:hAnsi="Times New Roman" w:cs="Times New Roman"/>
          <w:sz w:val="24"/>
        </w:rPr>
        <w:t xml:space="preserve"> людини, за </w:t>
      </w:r>
      <w:r w:rsidRPr="006F40C2">
        <w:rPr>
          <w:rStyle w:val="tlid-translation"/>
          <w:rFonts w:ascii="Times New Roman" w:hAnsi="Times New Roman" w:cs="Times New Roman"/>
          <w:sz w:val="24"/>
        </w:rPr>
        <w:t xml:space="preserve"> </w:t>
      </w:r>
      <w:r w:rsidR="001010E2">
        <w:rPr>
          <w:rStyle w:val="tlid-translation"/>
          <w:rFonts w:ascii="Times New Roman" w:hAnsi="Times New Roman" w:cs="Times New Roman"/>
          <w:sz w:val="24"/>
        </w:rPr>
        <w:t xml:space="preserve">допомогою </w:t>
      </w:r>
      <w:r w:rsidRPr="006F40C2">
        <w:rPr>
          <w:rStyle w:val="tlid-translation"/>
          <w:rFonts w:ascii="Times New Roman" w:hAnsi="Times New Roman" w:cs="Times New Roman"/>
          <w:sz w:val="24"/>
        </w:rPr>
        <w:t xml:space="preserve">двох контрольних органів </w:t>
      </w:r>
      <w:r w:rsidR="001010E2" w:rsidRPr="00B03F72">
        <w:rPr>
          <w:rFonts w:ascii="Times New Roman" w:hAnsi="Times New Roman" w:cs="Times New Roman"/>
          <w:sz w:val="24"/>
          <w:szCs w:val="24"/>
        </w:rPr>
        <w:t>Європейської конвенції з прав людини</w:t>
      </w:r>
      <w:r w:rsidRPr="006F40C2">
        <w:rPr>
          <w:rStyle w:val="tlid-translation"/>
          <w:rFonts w:ascii="Times New Roman" w:hAnsi="Times New Roman" w:cs="Times New Roman"/>
          <w:sz w:val="24"/>
        </w:rPr>
        <w:t xml:space="preserve">: Європейського </w:t>
      </w:r>
      <w:r w:rsidR="001010E2">
        <w:rPr>
          <w:rStyle w:val="tlid-translation"/>
          <w:rFonts w:ascii="Times New Roman" w:hAnsi="Times New Roman" w:cs="Times New Roman"/>
          <w:sz w:val="24"/>
        </w:rPr>
        <w:t>с</w:t>
      </w:r>
      <w:r w:rsidRPr="006F40C2">
        <w:rPr>
          <w:rStyle w:val="tlid-translation"/>
          <w:rFonts w:ascii="Times New Roman" w:hAnsi="Times New Roman" w:cs="Times New Roman"/>
          <w:sz w:val="24"/>
        </w:rPr>
        <w:t>уду</w:t>
      </w:r>
      <w:r w:rsidR="001010E2">
        <w:rPr>
          <w:rStyle w:val="tlid-translation"/>
          <w:rFonts w:ascii="Times New Roman" w:hAnsi="Times New Roman" w:cs="Times New Roman"/>
          <w:sz w:val="24"/>
        </w:rPr>
        <w:t xml:space="preserve"> </w:t>
      </w:r>
      <w:r w:rsidR="001010E2" w:rsidRPr="00B03F72">
        <w:rPr>
          <w:rFonts w:ascii="Times New Roman" w:hAnsi="Times New Roman" w:cs="Times New Roman"/>
          <w:sz w:val="24"/>
          <w:szCs w:val="24"/>
        </w:rPr>
        <w:t>з прав людини</w:t>
      </w:r>
      <w:r w:rsidRPr="006F40C2">
        <w:rPr>
          <w:rStyle w:val="tlid-translation"/>
          <w:rFonts w:ascii="Times New Roman" w:hAnsi="Times New Roman" w:cs="Times New Roman"/>
          <w:sz w:val="24"/>
        </w:rPr>
        <w:t>,</w:t>
      </w:r>
      <w:r>
        <w:rPr>
          <w:rStyle w:val="tlid-translation"/>
          <w:rFonts w:ascii="Times New Roman" w:hAnsi="Times New Roman" w:cs="Times New Roman"/>
          <w:sz w:val="24"/>
        </w:rPr>
        <w:t xml:space="preserve"> </w:t>
      </w:r>
      <w:r w:rsidR="001010E2">
        <w:rPr>
          <w:rStyle w:val="tlid-translation"/>
          <w:rFonts w:ascii="Times New Roman" w:hAnsi="Times New Roman" w:cs="Times New Roman"/>
          <w:sz w:val="24"/>
        </w:rPr>
        <w:t xml:space="preserve">який </w:t>
      </w:r>
      <w:r w:rsidRPr="006F40C2">
        <w:rPr>
          <w:rStyle w:val="tlid-translation"/>
          <w:rFonts w:ascii="Times New Roman" w:hAnsi="Times New Roman" w:cs="Times New Roman"/>
          <w:sz w:val="24"/>
        </w:rPr>
        <w:t xml:space="preserve">виносить обов'язкові </w:t>
      </w:r>
      <w:r w:rsidR="001010E2">
        <w:rPr>
          <w:rStyle w:val="tlid-translation"/>
          <w:rFonts w:ascii="Times New Roman" w:hAnsi="Times New Roman" w:cs="Times New Roman"/>
          <w:sz w:val="24"/>
        </w:rPr>
        <w:t>рішення</w:t>
      </w:r>
      <w:r w:rsidRPr="006F40C2">
        <w:rPr>
          <w:rStyle w:val="tlid-translation"/>
          <w:rFonts w:ascii="Times New Roman" w:hAnsi="Times New Roman" w:cs="Times New Roman"/>
          <w:sz w:val="24"/>
        </w:rPr>
        <w:t>, і Комітету Міністрів Ради Європи, що стежить за</w:t>
      </w:r>
      <w:r>
        <w:rPr>
          <w:rStyle w:val="tlid-translation"/>
          <w:rFonts w:ascii="Times New Roman" w:hAnsi="Times New Roman" w:cs="Times New Roman"/>
          <w:sz w:val="24"/>
        </w:rPr>
        <w:t xml:space="preserve"> </w:t>
      </w:r>
      <w:r w:rsidRPr="006F40C2">
        <w:rPr>
          <w:rStyle w:val="tlid-translation"/>
          <w:rFonts w:ascii="Times New Roman" w:hAnsi="Times New Roman" w:cs="Times New Roman"/>
          <w:sz w:val="24"/>
        </w:rPr>
        <w:t xml:space="preserve">виконанням цих </w:t>
      </w:r>
      <w:r w:rsidR="001010E2">
        <w:rPr>
          <w:rStyle w:val="tlid-translation"/>
          <w:rFonts w:ascii="Times New Roman" w:hAnsi="Times New Roman" w:cs="Times New Roman"/>
          <w:sz w:val="24"/>
        </w:rPr>
        <w:t>рішень</w:t>
      </w:r>
      <w:r w:rsidRPr="006F40C2">
        <w:rPr>
          <w:rStyle w:val="tlid-translation"/>
          <w:rFonts w:ascii="Times New Roman" w:hAnsi="Times New Roman" w:cs="Times New Roman"/>
          <w:sz w:val="24"/>
        </w:rPr>
        <w:t>.</w:t>
      </w:r>
    </w:p>
    <w:p w:rsidR="009A68BF" w:rsidRPr="009A68BF" w:rsidRDefault="009A68BF" w:rsidP="00B03F72">
      <w:pPr>
        <w:spacing w:after="0"/>
        <w:ind w:firstLine="709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</w:rPr>
        <w:t xml:space="preserve">Так відповідно до Рекомендацій </w:t>
      </w:r>
      <w:r w:rsidRPr="00B03F72">
        <w:rPr>
          <w:rFonts w:ascii="Times New Roman" w:hAnsi="Times New Roman" w:cs="Times New Roman"/>
          <w:sz w:val="24"/>
          <w:szCs w:val="24"/>
        </w:rPr>
        <w:t>№(2002) 2 Комітету Міністрів Ради Європи держав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03F72">
        <w:rPr>
          <w:rFonts w:ascii="Times New Roman" w:hAnsi="Times New Roman" w:cs="Times New Roman"/>
          <w:sz w:val="24"/>
          <w:szCs w:val="24"/>
        </w:rPr>
        <w:t>-член</w:t>
      </w:r>
      <w:r>
        <w:rPr>
          <w:rFonts w:ascii="Times New Roman" w:hAnsi="Times New Roman" w:cs="Times New Roman"/>
          <w:sz w:val="24"/>
          <w:szCs w:val="24"/>
        </w:rPr>
        <w:t xml:space="preserve">и повинні передбачити на національному рівні адекватні </w:t>
      </w:r>
      <w:r>
        <w:rPr>
          <w:rStyle w:val="tlid-translation"/>
          <w:rFonts w:ascii="Times New Roman" w:hAnsi="Times New Roman" w:cs="Times New Roman"/>
          <w:sz w:val="24"/>
        </w:rPr>
        <w:t xml:space="preserve"> можливості для перегляду справ, включно поновлення провадження в тих інстанціях, де Європейський суд з прав </w:t>
      </w:r>
      <w:r w:rsidRPr="009A68BF">
        <w:rPr>
          <w:rStyle w:val="tlid-translation"/>
          <w:rFonts w:ascii="Times New Roman" w:hAnsi="Times New Roman" w:cs="Times New Roman"/>
          <w:sz w:val="24"/>
          <w:szCs w:val="24"/>
        </w:rPr>
        <w:t>людини встановив порушення Європейської конвенції з прав людини, особливо в тих випадках коли:</w:t>
      </w:r>
    </w:p>
    <w:p w:rsidR="009A68BF" w:rsidRDefault="009A68BF" w:rsidP="009A68BF">
      <w:pPr>
        <w:pStyle w:val="a6"/>
        <w:numPr>
          <w:ilvl w:val="0"/>
          <w:numId w:val="1"/>
        </w:numPr>
        <w:spacing w:after="0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9A68BF">
        <w:rPr>
          <w:rStyle w:val="tlid-translation"/>
          <w:rFonts w:ascii="Times New Roman" w:hAnsi="Times New Roman" w:cs="Times New Roman"/>
          <w:sz w:val="24"/>
          <w:szCs w:val="24"/>
        </w:rPr>
        <w:t>потерпіла сторона продовжує відчувати вплив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8BF">
        <w:rPr>
          <w:rStyle w:val="tlid-translation"/>
          <w:rFonts w:ascii="Times New Roman" w:hAnsi="Times New Roman" w:cs="Times New Roman"/>
          <w:sz w:val="24"/>
          <w:szCs w:val="24"/>
        </w:rPr>
        <w:t>негативних наслідків від рішення національної інстанції, яке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8BF">
        <w:rPr>
          <w:rStyle w:val="tlid-translation"/>
          <w:rFonts w:ascii="Times New Roman" w:hAnsi="Times New Roman" w:cs="Times New Roman"/>
          <w:sz w:val="24"/>
          <w:szCs w:val="24"/>
        </w:rPr>
        <w:t>не забезпечує справедливу сатисфакцію і не може бути змінено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8BF">
        <w:rPr>
          <w:rStyle w:val="tlid-translation"/>
          <w:rFonts w:ascii="Times New Roman" w:hAnsi="Times New Roman" w:cs="Times New Roman"/>
          <w:sz w:val="24"/>
          <w:szCs w:val="24"/>
        </w:rPr>
        <w:t>шляхом перегляду або поновлення провадження у справі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;</w:t>
      </w:r>
    </w:p>
    <w:p w:rsidR="009A68BF" w:rsidRPr="009A68BF" w:rsidRDefault="009A68BF" w:rsidP="009A68B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A68BF">
        <w:rPr>
          <w:rStyle w:val="tlid-translation"/>
          <w:rFonts w:ascii="Times New Roman" w:hAnsi="Times New Roman" w:cs="Times New Roman"/>
          <w:sz w:val="24"/>
        </w:rPr>
        <w:t xml:space="preserve">рішення </w:t>
      </w:r>
      <w:r w:rsidR="007045E6">
        <w:rPr>
          <w:rStyle w:val="tlid-translation"/>
          <w:rFonts w:ascii="Times New Roman" w:hAnsi="Times New Roman" w:cs="Times New Roman"/>
          <w:sz w:val="24"/>
        </w:rPr>
        <w:t xml:space="preserve">Європейського суду з прав </w:t>
      </w:r>
      <w:r w:rsidR="007045E6" w:rsidRPr="009A68BF">
        <w:rPr>
          <w:rStyle w:val="tlid-translation"/>
          <w:rFonts w:ascii="Times New Roman" w:hAnsi="Times New Roman" w:cs="Times New Roman"/>
          <w:sz w:val="24"/>
          <w:szCs w:val="24"/>
        </w:rPr>
        <w:t>людини</w:t>
      </w:r>
      <w:r w:rsidR="007045E6" w:rsidRPr="009A68BF">
        <w:rPr>
          <w:rStyle w:val="tlid-translation"/>
          <w:rFonts w:ascii="Times New Roman" w:hAnsi="Times New Roman" w:cs="Times New Roman"/>
          <w:sz w:val="24"/>
        </w:rPr>
        <w:t xml:space="preserve"> </w:t>
      </w:r>
      <w:r w:rsidRPr="009A68BF">
        <w:rPr>
          <w:rStyle w:val="tlid-translation"/>
          <w:rFonts w:ascii="Times New Roman" w:hAnsi="Times New Roman" w:cs="Times New Roman"/>
          <w:sz w:val="24"/>
        </w:rPr>
        <w:t>дозволяє зробити висновок, що</w:t>
      </w:r>
      <w:r>
        <w:rPr>
          <w:rStyle w:val="tlid-translation"/>
          <w:rFonts w:ascii="Times New Roman" w:hAnsi="Times New Roman" w:cs="Times New Roman"/>
          <w:sz w:val="24"/>
        </w:rPr>
        <w:t>:</w:t>
      </w:r>
    </w:p>
    <w:p w:rsidR="009A68BF" w:rsidRDefault="009A68BF" w:rsidP="009A68BF">
      <w:pPr>
        <w:pStyle w:val="a6"/>
        <w:spacing w:after="0"/>
        <w:ind w:left="1069" w:firstLine="347"/>
        <w:jc w:val="both"/>
        <w:rPr>
          <w:rFonts w:ascii="Times New Roman" w:hAnsi="Times New Roman" w:cs="Times New Roman"/>
          <w:sz w:val="24"/>
        </w:rPr>
      </w:pPr>
      <w:r w:rsidRPr="007045E6">
        <w:rPr>
          <w:rStyle w:val="tlid-translation"/>
          <w:rFonts w:ascii="Times New Roman" w:hAnsi="Times New Roman" w:cs="Times New Roman"/>
          <w:b/>
          <w:i/>
          <w:sz w:val="24"/>
        </w:rPr>
        <w:t>a)</w:t>
      </w:r>
      <w:r>
        <w:rPr>
          <w:rStyle w:val="tlid-translation"/>
          <w:rFonts w:ascii="Times New Roman" w:hAnsi="Times New Roman" w:cs="Times New Roman"/>
          <w:sz w:val="24"/>
        </w:rPr>
        <w:t> </w:t>
      </w:r>
      <w:r w:rsidRPr="009A68BF">
        <w:rPr>
          <w:rStyle w:val="tlid-translation"/>
          <w:rFonts w:ascii="Times New Roman" w:hAnsi="Times New Roman" w:cs="Times New Roman"/>
          <w:sz w:val="24"/>
        </w:rPr>
        <w:t>оскаржене рішення національної інстанції по суті</w:t>
      </w:r>
      <w:r>
        <w:rPr>
          <w:rStyle w:val="tlid-translation"/>
          <w:rFonts w:ascii="Times New Roman" w:hAnsi="Times New Roman" w:cs="Times New Roman"/>
          <w:sz w:val="24"/>
        </w:rPr>
        <w:t xml:space="preserve"> </w:t>
      </w:r>
      <w:r w:rsidRPr="009A68BF">
        <w:rPr>
          <w:rStyle w:val="tlid-translation"/>
          <w:rFonts w:ascii="Times New Roman" w:hAnsi="Times New Roman" w:cs="Times New Roman"/>
          <w:sz w:val="24"/>
        </w:rPr>
        <w:t xml:space="preserve">суперечить </w:t>
      </w:r>
      <w:r w:rsidRPr="009A68BF">
        <w:rPr>
          <w:rStyle w:val="tlid-translation"/>
          <w:rFonts w:ascii="Times New Roman" w:hAnsi="Times New Roman" w:cs="Times New Roman"/>
          <w:sz w:val="24"/>
          <w:szCs w:val="24"/>
        </w:rPr>
        <w:t>Європейської конвенції з прав людини</w:t>
      </w:r>
      <w:r w:rsidRPr="009A68BF">
        <w:rPr>
          <w:rStyle w:val="tlid-translation"/>
          <w:rFonts w:ascii="Times New Roman" w:hAnsi="Times New Roman" w:cs="Times New Roman"/>
          <w:sz w:val="24"/>
        </w:rPr>
        <w:t>, або</w:t>
      </w:r>
    </w:p>
    <w:p w:rsidR="00DB4867" w:rsidRPr="009A68BF" w:rsidRDefault="009A68BF" w:rsidP="009A68BF">
      <w:pPr>
        <w:pStyle w:val="a6"/>
        <w:spacing w:after="0"/>
        <w:ind w:left="1069" w:firstLine="347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</w:pPr>
      <w:r w:rsidRPr="007045E6">
        <w:rPr>
          <w:rStyle w:val="tlid-translation"/>
          <w:rFonts w:ascii="Times New Roman" w:hAnsi="Times New Roman" w:cs="Times New Roman"/>
          <w:b/>
          <w:i/>
          <w:sz w:val="24"/>
        </w:rPr>
        <w:t>b)</w:t>
      </w:r>
      <w:r>
        <w:rPr>
          <w:rStyle w:val="tlid-translation"/>
          <w:rFonts w:ascii="Times New Roman" w:hAnsi="Times New Roman" w:cs="Times New Roman"/>
          <w:sz w:val="24"/>
        </w:rPr>
        <w:t> </w:t>
      </w:r>
      <w:r w:rsidRPr="009A68BF">
        <w:rPr>
          <w:rStyle w:val="tlid-translation"/>
          <w:rFonts w:ascii="Times New Roman" w:hAnsi="Times New Roman" w:cs="Times New Roman"/>
          <w:sz w:val="24"/>
        </w:rPr>
        <w:t>визнане порушення ґрунтується на процедурних</w:t>
      </w:r>
      <w:r>
        <w:rPr>
          <w:rFonts w:ascii="Times New Roman" w:hAnsi="Times New Roman" w:cs="Times New Roman"/>
          <w:sz w:val="24"/>
        </w:rPr>
        <w:t xml:space="preserve"> </w:t>
      </w:r>
      <w:r w:rsidRPr="009A68BF">
        <w:rPr>
          <w:rStyle w:val="tlid-translation"/>
          <w:rFonts w:ascii="Times New Roman" w:hAnsi="Times New Roman" w:cs="Times New Roman"/>
          <w:sz w:val="24"/>
        </w:rPr>
        <w:t>помилках або порушеннях, що мають такий серйозний характер, що</w:t>
      </w:r>
      <w:r>
        <w:rPr>
          <w:rFonts w:ascii="Times New Roman" w:hAnsi="Times New Roman" w:cs="Times New Roman"/>
          <w:sz w:val="24"/>
        </w:rPr>
        <w:t xml:space="preserve"> </w:t>
      </w:r>
      <w:r w:rsidRPr="009A68BF">
        <w:rPr>
          <w:rStyle w:val="tlid-translation"/>
          <w:rFonts w:ascii="Times New Roman" w:hAnsi="Times New Roman" w:cs="Times New Roman"/>
          <w:sz w:val="24"/>
        </w:rPr>
        <w:t>впливають на результати внутрішньодержавного</w:t>
      </w:r>
      <w:r>
        <w:rPr>
          <w:rFonts w:ascii="Times New Roman" w:hAnsi="Times New Roman" w:cs="Times New Roman"/>
          <w:sz w:val="24"/>
        </w:rPr>
        <w:t xml:space="preserve"> </w:t>
      </w:r>
      <w:r w:rsidRPr="009A68BF">
        <w:rPr>
          <w:rStyle w:val="tlid-translation"/>
          <w:rFonts w:ascii="Times New Roman" w:hAnsi="Times New Roman" w:cs="Times New Roman"/>
          <w:sz w:val="24"/>
        </w:rPr>
        <w:t>розгляду</w:t>
      </w:r>
      <w:r w:rsidR="00564F71">
        <w:rPr>
          <w:rStyle w:val="ad"/>
          <w:rFonts w:ascii="Times New Roman" w:hAnsi="Times New Roman" w:cs="Times New Roman"/>
          <w:sz w:val="24"/>
        </w:rPr>
        <w:footnoteReference w:id="1"/>
      </w:r>
      <w:r w:rsidRPr="009A68BF">
        <w:rPr>
          <w:rStyle w:val="tlid-translation"/>
          <w:rFonts w:ascii="Times New Roman" w:hAnsi="Times New Roman" w:cs="Times New Roman"/>
          <w:sz w:val="24"/>
        </w:rPr>
        <w:t>.</w:t>
      </w:r>
    </w:p>
    <w:p w:rsidR="00780C18" w:rsidRPr="00780C18" w:rsidRDefault="00F50DEF" w:rsidP="00780C18">
      <w:pPr>
        <w:spacing w:after="0"/>
        <w:ind w:firstLine="709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50DEF">
        <w:rPr>
          <w:rStyle w:val="tlid-translation"/>
          <w:rFonts w:ascii="Times New Roman" w:hAnsi="Times New Roman" w:cs="Times New Roman"/>
          <w:sz w:val="24"/>
        </w:rPr>
        <w:t>Рекомендація</w:t>
      </w:r>
      <w:r>
        <w:rPr>
          <w:rStyle w:val="tlid-translation"/>
          <w:rFonts w:ascii="Times New Roman" w:hAnsi="Times New Roman" w:cs="Times New Roman"/>
          <w:sz w:val="24"/>
        </w:rPr>
        <w:t xml:space="preserve"> </w:t>
      </w:r>
      <w:r w:rsidRPr="00B03F72">
        <w:rPr>
          <w:rFonts w:ascii="Times New Roman" w:hAnsi="Times New Roman" w:cs="Times New Roman"/>
          <w:sz w:val="24"/>
          <w:szCs w:val="24"/>
        </w:rPr>
        <w:t>№(2002) 2 Комітету Міністрів Ради Європи</w:t>
      </w:r>
      <w:r w:rsidRPr="00F50DEF">
        <w:rPr>
          <w:rStyle w:val="tlid-translation"/>
          <w:rFonts w:ascii="Times New Roman" w:hAnsi="Times New Roman" w:cs="Times New Roman"/>
          <w:sz w:val="24"/>
        </w:rPr>
        <w:t xml:space="preserve"> закликає всі </w:t>
      </w:r>
      <w:r>
        <w:rPr>
          <w:rStyle w:val="tlid-translation"/>
          <w:rFonts w:ascii="Times New Roman" w:hAnsi="Times New Roman" w:cs="Times New Roman"/>
          <w:sz w:val="24"/>
        </w:rPr>
        <w:t>д</w:t>
      </w:r>
      <w:r w:rsidRPr="00F50DEF">
        <w:rPr>
          <w:rStyle w:val="tlid-translation"/>
          <w:rFonts w:ascii="Times New Roman" w:hAnsi="Times New Roman" w:cs="Times New Roman"/>
          <w:sz w:val="24"/>
        </w:rPr>
        <w:t xml:space="preserve">оговірні </w:t>
      </w:r>
      <w:r>
        <w:rPr>
          <w:rStyle w:val="tlid-translation"/>
          <w:rFonts w:ascii="Times New Roman" w:hAnsi="Times New Roman" w:cs="Times New Roman"/>
          <w:sz w:val="24"/>
        </w:rPr>
        <w:t>с</w:t>
      </w:r>
      <w:r w:rsidRPr="00F50DEF">
        <w:rPr>
          <w:rStyle w:val="tlid-translation"/>
          <w:rFonts w:ascii="Times New Roman" w:hAnsi="Times New Roman" w:cs="Times New Roman"/>
          <w:sz w:val="24"/>
        </w:rPr>
        <w:t>торони переконатися,</w:t>
      </w:r>
      <w:r>
        <w:rPr>
          <w:rFonts w:ascii="Times New Roman" w:hAnsi="Times New Roman" w:cs="Times New Roman"/>
          <w:sz w:val="24"/>
        </w:rPr>
        <w:t xml:space="preserve"> </w:t>
      </w:r>
      <w:r w:rsidRPr="00F50DEF">
        <w:rPr>
          <w:rStyle w:val="tlid-translation"/>
          <w:rFonts w:ascii="Times New Roman" w:hAnsi="Times New Roman" w:cs="Times New Roman"/>
          <w:sz w:val="24"/>
        </w:rPr>
        <w:t>що в їх національних правових системах існують необхідні</w:t>
      </w:r>
      <w:r w:rsidRPr="00F50DEF">
        <w:rPr>
          <w:rFonts w:ascii="Times New Roman" w:hAnsi="Times New Roman" w:cs="Times New Roman"/>
          <w:sz w:val="24"/>
        </w:rPr>
        <w:br/>
      </w:r>
      <w:r w:rsidRPr="00F50DEF">
        <w:rPr>
          <w:rStyle w:val="tlid-translation"/>
          <w:rFonts w:ascii="Times New Roman" w:hAnsi="Times New Roman" w:cs="Times New Roman"/>
          <w:sz w:val="24"/>
        </w:rPr>
        <w:t xml:space="preserve">можливості для досягнення, наскільки це можливо, </w:t>
      </w:r>
      <w:r w:rsidRPr="00F50DEF">
        <w:rPr>
          <w:rStyle w:val="tlid-translation"/>
          <w:rFonts w:ascii="Times New Roman" w:hAnsi="Times New Roman" w:cs="Times New Roman"/>
          <w:i/>
          <w:sz w:val="24"/>
        </w:rPr>
        <w:t>restitutio in</w:t>
      </w:r>
      <w:r w:rsidRPr="00F50DEF">
        <w:rPr>
          <w:rFonts w:ascii="Times New Roman" w:hAnsi="Times New Roman" w:cs="Times New Roman"/>
          <w:i/>
          <w:sz w:val="24"/>
        </w:rPr>
        <w:t xml:space="preserve"> </w:t>
      </w:r>
      <w:r w:rsidRPr="00F50DEF">
        <w:rPr>
          <w:rStyle w:val="tlid-translation"/>
          <w:rFonts w:ascii="Times New Roman" w:hAnsi="Times New Roman" w:cs="Times New Roman"/>
          <w:i/>
          <w:sz w:val="24"/>
        </w:rPr>
        <w:t>integrum</w:t>
      </w:r>
      <w:r w:rsidRPr="00F50DEF">
        <w:rPr>
          <w:rStyle w:val="tlid-translation"/>
          <w:rFonts w:ascii="Times New Roman" w:hAnsi="Times New Roman" w:cs="Times New Roman"/>
          <w:sz w:val="24"/>
        </w:rPr>
        <w:t>, і, особливо, забезпечити відповідні можливості</w:t>
      </w:r>
      <w:r>
        <w:rPr>
          <w:rFonts w:ascii="Times New Roman" w:hAnsi="Times New Roman" w:cs="Times New Roman"/>
          <w:sz w:val="24"/>
        </w:rPr>
        <w:t xml:space="preserve"> </w:t>
      </w:r>
      <w:r w:rsidRPr="00F50DEF">
        <w:rPr>
          <w:rStyle w:val="tlid-translation"/>
          <w:rFonts w:ascii="Times New Roman" w:hAnsi="Times New Roman" w:cs="Times New Roman"/>
          <w:sz w:val="24"/>
        </w:rPr>
        <w:t>для перегляду справ, включаючи і відновлення провадження у справі.</w:t>
      </w:r>
      <w:r>
        <w:rPr>
          <w:rFonts w:ascii="Times New Roman" w:hAnsi="Times New Roman" w:cs="Times New Roman"/>
          <w:sz w:val="24"/>
        </w:rPr>
        <w:t xml:space="preserve"> </w:t>
      </w:r>
      <w:r w:rsidRPr="00F50DEF">
        <w:rPr>
          <w:rStyle w:val="tlid-translation"/>
          <w:rFonts w:ascii="Times New Roman" w:hAnsi="Times New Roman" w:cs="Times New Roman"/>
          <w:sz w:val="24"/>
        </w:rPr>
        <w:t xml:space="preserve">Щодо термінів слід зазначити, що в </w:t>
      </w:r>
      <w:r>
        <w:rPr>
          <w:rStyle w:val="tlid-translation"/>
          <w:rFonts w:ascii="Times New Roman" w:hAnsi="Times New Roman" w:cs="Times New Roman"/>
          <w:sz w:val="24"/>
        </w:rPr>
        <w:t>р</w:t>
      </w:r>
      <w:r w:rsidRPr="00F50DEF">
        <w:rPr>
          <w:rStyle w:val="tlid-translation"/>
          <w:rFonts w:ascii="Times New Roman" w:hAnsi="Times New Roman" w:cs="Times New Roman"/>
          <w:sz w:val="24"/>
        </w:rPr>
        <w:t>екомендації</w:t>
      </w:r>
      <w:r w:rsidRPr="00F50DEF">
        <w:rPr>
          <w:rFonts w:ascii="Times New Roman" w:hAnsi="Times New Roman" w:cs="Times New Roman"/>
          <w:sz w:val="24"/>
        </w:rPr>
        <w:br/>
      </w:r>
      <w:r w:rsidRPr="00F50DEF">
        <w:rPr>
          <w:rStyle w:val="tlid-translation"/>
          <w:rFonts w:ascii="Times New Roman" w:hAnsi="Times New Roman" w:cs="Times New Roman"/>
          <w:sz w:val="24"/>
        </w:rPr>
        <w:t xml:space="preserve">термін </w:t>
      </w:r>
      <w:r>
        <w:rPr>
          <w:rStyle w:val="tlid-translation"/>
          <w:rFonts w:ascii="Times New Roman" w:hAnsi="Times New Roman" w:cs="Times New Roman"/>
          <w:sz w:val="24"/>
        </w:rPr>
        <w:t>«</w:t>
      </w:r>
      <w:r w:rsidRPr="00F50DEF">
        <w:rPr>
          <w:rStyle w:val="tlid-translation"/>
          <w:rFonts w:ascii="Times New Roman" w:hAnsi="Times New Roman" w:cs="Times New Roman"/>
          <w:sz w:val="24"/>
        </w:rPr>
        <w:t>перегляд</w:t>
      </w:r>
      <w:r>
        <w:rPr>
          <w:rStyle w:val="tlid-translation"/>
          <w:rFonts w:ascii="Times New Roman" w:hAnsi="Times New Roman" w:cs="Times New Roman"/>
          <w:sz w:val="24"/>
        </w:rPr>
        <w:t>»</w:t>
      </w:r>
      <w:r w:rsidRPr="00F50DEF">
        <w:rPr>
          <w:rStyle w:val="tlid-translation"/>
          <w:rFonts w:ascii="Times New Roman" w:hAnsi="Times New Roman" w:cs="Times New Roman"/>
          <w:sz w:val="24"/>
        </w:rPr>
        <w:t xml:space="preserve"> використовується в якості загального терміна. Термін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</w:rPr>
        <w:t>«</w:t>
      </w:r>
      <w:r w:rsidRPr="00F50DEF">
        <w:rPr>
          <w:rStyle w:val="tlid-translation"/>
          <w:rFonts w:ascii="Times New Roman" w:hAnsi="Times New Roman" w:cs="Times New Roman"/>
          <w:sz w:val="24"/>
        </w:rPr>
        <w:t>Відновлення провадження у справі</w:t>
      </w:r>
      <w:r>
        <w:rPr>
          <w:rStyle w:val="tlid-translation"/>
          <w:rFonts w:ascii="Times New Roman" w:hAnsi="Times New Roman" w:cs="Times New Roman"/>
          <w:sz w:val="24"/>
        </w:rPr>
        <w:t xml:space="preserve">» </w:t>
      </w:r>
      <w:r w:rsidRPr="00F50DEF">
        <w:rPr>
          <w:rStyle w:val="tlid-translation"/>
          <w:rFonts w:ascii="Times New Roman" w:hAnsi="Times New Roman" w:cs="Times New Roman"/>
          <w:sz w:val="24"/>
        </w:rPr>
        <w:t xml:space="preserve"> означає відновлення</w:t>
      </w:r>
      <w:r>
        <w:rPr>
          <w:rFonts w:ascii="Times New Roman" w:hAnsi="Times New Roman" w:cs="Times New Roman"/>
          <w:sz w:val="24"/>
        </w:rPr>
        <w:t xml:space="preserve"> </w:t>
      </w:r>
      <w:r w:rsidRPr="00F50DEF">
        <w:rPr>
          <w:rStyle w:val="tlid-translation"/>
          <w:rFonts w:ascii="Times New Roman" w:hAnsi="Times New Roman" w:cs="Times New Roman"/>
          <w:sz w:val="24"/>
        </w:rPr>
        <w:t xml:space="preserve">судового розгляду в якості характерного </w:t>
      </w:r>
      <w:r>
        <w:rPr>
          <w:rStyle w:val="tlid-translation"/>
          <w:rFonts w:ascii="Times New Roman" w:hAnsi="Times New Roman" w:cs="Times New Roman"/>
          <w:sz w:val="24"/>
        </w:rPr>
        <w:t xml:space="preserve">засобу </w:t>
      </w:r>
      <w:r w:rsidRPr="00F50DEF">
        <w:rPr>
          <w:rStyle w:val="tlid-translation"/>
          <w:rFonts w:ascii="Times New Roman" w:hAnsi="Times New Roman" w:cs="Times New Roman"/>
          <w:sz w:val="24"/>
        </w:rPr>
        <w:t xml:space="preserve">перегляду справи. Порушення </w:t>
      </w:r>
      <w:r w:rsidRPr="009A68BF">
        <w:rPr>
          <w:rStyle w:val="tlid-translation"/>
          <w:rFonts w:ascii="Times New Roman" w:hAnsi="Times New Roman" w:cs="Times New Roman"/>
          <w:sz w:val="24"/>
          <w:szCs w:val="24"/>
        </w:rPr>
        <w:t>Європейської конвенції з прав людини</w:t>
      </w:r>
      <w:r w:rsidRPr="00F50DEF">
        <w:rPr>
          <w:rStyle w:val="tlid-translation"/>
          <w:rFonts w:ascii="Times New Roman" w:hAnsi="Times New Roman" w:cs="Times New Roman"/>
          <w:sz w:val="24"/>
        </w:rPr>
        <w:t xml:space="preserve"> можуть бути</w:t>
      </w:r>
      <w:r w:rsidRPr="00F50DEF">
        <w:rPr>
          <w:rFonts w:ascii="Times New Roman" w:hAnsi="Times New Roman" w:cs="Times New Roman"/>
          <w:sz w:val="24"/>
        </w:rPr>
        <w:br/>
      </w:r>
      <w:r w:rsidRPr="00F50DEF">
        <w:rPr>
          <w:rStyle w:val="tlid-translation"/>
          <w:rFonts w:ascii="Times New Roman" w:hAnsi="Times New Roman" w:cs="Times New Roman"/>
          <w:sz w:val="24"/>
        </w:rPr>
        <w:t>усунені, починаючи від адміністративного пер</w:t>
      </w:r>
      <w:r>
        <w:rPr>
          <w:rStyle w:val="tlid-translation"/>
          <w:rFonts w:ascii="Times New Roman" w:hAnsi="Times New Roman" w:cs="Times New Roman"/>
          <w:sz w:val="24"/>
        </w:rPr>
        <w:t>егляду справи (</w:t>
      </w:r>
      <w:r>
        <w:rPr>
          <w:rFonts w:ascii="Times New Roman" w:hAnsi="Times New Roman" w:cs="Times New Roman"/>
          <w:sz w:val="24"/>
        </w:rPr>
        <w:t>н</w:t>
      </w:r>
      <w:r w:rsidRPr="00F50DEF">
        <w:rPr>
          <w:rStyle w:val="tlid-translation"/>
          <w:rFonts w:ascii="Times New Roman" w:hAnsi="Times New Roman" w:cs="Times New Roman"/>
          <w:sz w:val="24"/>
        </w:rPr>
        <w:t xml:space="preserve">априклад, </w:t>
      </w:r>
      <w:r>
        <w:rPr>
          <w:rStyle w:val="tlid-translation"/>
          <w:rFonts w:ascii="Times New Roman" w:hAnsi="Times New Roman" w:cs="Times New Roman"/>
          <w:sz w:val="24"/>
        </w:rPr>
        <w:t xml:space="preserve">надання </w:t>
      </w:r>
      <w:r w:rsidRPr="00F50DEF">
        <w:rPr>
          <w:rStyle w:val="tlid-translation"/>
          <w:rFonts w:ascii="Times New Roman" w:hAnsi="Times New Roman" w:cs="Times New Roman"/>
          <w:sz w:val="24"/>
        </w:rPr>
        <w:t>дозв</w:t>
      </w:r>
      <w:r>
        <w:rPr>
          <w:rStyle w:val="tlid-translation"/>
          <w:rFonts w:ascii="Times New Roman" w:hAnsi="Times New Roman" w:cs="Times New Roman"/>
          <w:sz w:val="24"/>
        </w:rPr>
        <w:t xml:space="preserve">олу </w:t>
      </w:r>
      <w:r w:rsidRPr="00F50DEF">
        <w:rPr>
          <w:rStyle w:val="tlid-translation"/>
          <w:rFonts w:ascii="Times New Roman" w:hAnsi="Times New Roman" w:cs="Times New Roman"/>
          <w:sz w:val="24"/>
        </w:rPr>
        <w:t>на проживання, в якому раніше було відмовлено),</w:t>
      </w:r>
      <w:r>
        <w:rPr>
          <w:rFonts w:ascii="Times New Roman" w:hAnsi="Times New Roman" w:cs="Times New Roman"/>
          <w:sz w:val="24"/>
        </w:rPr>
        <w:t xml:space="preserve"> </w:t>
      </w:r>
      <w:r w:rsidRPr="00F50DEF">
        <w:rPr>
          <w:rStyle w:val="tlid-translation"/>
          <w:rFonts w:ascii="Times New Roman" w:hAnsi="Times New Roman" w:cs="Times New Roman"/>
          <w:sz w:val="24"/>
        </w:rPr>
        <w:t>і закінчуючи повним ві</w:t>
      </w:r>
      <w:r>
        <w:rPr>
          <w:rStyle w:val="tlid-translation"/>
          <w:rFonts w:ascii="Times New Roman" w:hAnsi="Times New Roman" w:cs="Times New Roman"/>
          <w:sz w:val="24"/>
        </w:rPr>
        <w:t xml:space="preserve">дновленням судового </w:t>
      </w:r>
      <w:r w:rsidRPr="00780C18">
        <w:rPr>
          <w:rStyle w:val="tlid-translation"/>
          <w:rFonts w:ascii="Times New Roman" w:hAnsi="Times New Roman" w:cs="Times New Roman"/>
          <w:sz w:val="24"/>
          <w:szCs w:val="24"/>
        </w:rPr>
        <w:t>розгляду (наприклад, у кримінальних справах).</w:t>
      </w:r>
    </w:p>
    <w:p w:rsidR="00F50DEF" w:rsidRPr="00780C18" w:rsidRDefault="00780C18" w:rsidP="00780C18">
      <w:pPr>
        <w:spacing w:after="0"/>
        <w:ind w:firstLine="709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780C18">
        <w:rPr>
          <w:rStyle w:val="tlid-translation"/>
          <w:rFonts w:ascii="Times New Roman" w:hAnsi="Times New Roman" w:cs="Times New Roman"/>
          <w:sz w:val="24"/>
          <w:szCs w:val="24"/>
        </w:rPr>
        <w:t>Рекомендація застосовується, перш за все, до судових процедур в тих випадках, коли існуюче законодавство може перешкоджати новому розгляду. Однак рекомендація</w:t>
      </w:r>
      <w:r w:rsidRPr="00780C18">
        <w:rPr>
          <w:rFonts w:ascii="Times New Roman" w:hAnsi="Times New Roman" w:cs="Times New Roman"/>
          <w:sz w:val="24"/>
          <w:szCs w:val="24"/>
        </w:rPr>
        <w:br/>
      </w:r>
      <w:r w:rsidRPr="00780C18">
        <w:rPr>
          <w:rStyle w:val="tlid-translation"/>
          <w:rFonts w:ascii="Times New Roman" w:hAnsi="Times New Roman" w:cs="Times New Roman"/>
          <w:sz w:val="24"/>
          <w:szCs w:val="24"/>
        </w:rPr>
        <w:t>застосовується також до адміністративних та інших процедур, хоча</w:t>
      </w:r>
      <w:r w:rsidRPr="00780C18">
        <w:rPr>
          <w:rFonts w:ascii="Times New Roman" w:hAnsi="Times New Roman" w:cs="Times New Roman"/>
          <w:sz w:val="24"/>
          <w:szCs w:val="24"/>
        </w:rPr>
        <w:t xml:space="preserve"> </w:t>
      </w:r>
      <w:r w:rsidRPr="00780C18">
        <w:rPr>
          <w:rStyle w:val="tlid-translation"/>
          <w:rFonts w:ascii="Times New Roman" w:hAnsi="Times New Roman" w:cs="Times New Roman"/>
          <w:sz w:val="24"/>
          <w:szCs w:val="24"/>
        </w:rPr>
        <w:t>правові перешкоди в подібних процедурах, як правило, менш</w:t>
      </w:r>
      <w:r w:rsidRPr="00780C18">
        <w:rPr>
          <w:rFonts w:ascii="Times New Roman" w:hAnsi="Times New Roman" w:cs="Times New Roman"/>
          <w:sz w:val="24"/>
          <w:szCs w:val="24"/>
        </w:rPr>
        <w:t xml:space="preserve"> </w:t>
      </w:r>
      <w:r w:rsidRPr="00780C18">
        <w:rPr>
          <w:rStyle w:val="tlid-translation"/>
          <w:rFonts w:ascii="Times New Roman" w:hAnsi="Times New Roman" w:cs="Times New Roman"/>
          <w:sz w:val="24"/>
          <w:szCs w:val="24"/>
        </w:rPr>
        <w:t>серйозні.</w:t>
      </w:r>
    </w:p>
    <w:p w:rsidR="00A33FD5" w:rsidRPr="00175611" w:rsidRDefault="00780C18" w:rsidP="00306601">
      <w:pPr>
        <w:spacing w:after="0"/>
        <w:ind w:firstLine="709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</w:rPr>
        <w:t>Держави-учасники</w:t>
      </w:r>
      <w:r w:rsidRPr="00780C18">
        <w:rPr>
          <w:rStyle w:val="tlid-translation"/>
          <w:rFonts w:ascii="Times New Roman" w:hAnsi="Times New Roman" w:cs="Times New Roman"/>
          <w:sz w:val="24"/>
        </w:rPr>
        <w:t xml:space="preserve"> повинні відповідним чином</w:t>
      </w:r>
      <w:r w:rsidR="00175611">
        <w:rPr>
          <w:rFonts w:ascii="Times New Roman" w:hAnsi="Times New Roman" w:cs="Times New Roman"/>
          <w:sz w:val="24"/>
        </w:rPr>
        <w:t xml:space="preserve"> </w:t>
      </w:r>
      <w:r w:rsidRPr="00780C18">
        <w:rPr>
          <w:rStyle w:val="tlid-translation"/>
          <w:rFonts w:ascii="Times New Roman" w:hAnsi="Times New Roman" w:cs="Times New Roman"/>
          <w:sz w:val="24"/>
        </w:rPr>
        <w:t>переглядати свої правові системи з метою забезпечити</w:t>
      </w:r>
      <w:r w:rsidR="00175611">
        <w:rPr>
          <w:rFonts w:ascii="Times New Roman" w:hAnsi="Times New Roman" w:cs="Times New Roman"/>
          <w:sz w:val="24"/>
        </w:rPr>
        <w:t xml:space="preserve"> </w:t>
      </w:r>
      <w:r w:rsidRPr="00780C18">
        <w:rPr>
          <w:rStyle w:val="tlid-translation"/>
          <w:rFonts w:ascii="Times New Roman" w:hAnsi="Times New Roman" w:cs="Times New Roman"/>
          <w:sz w:val="24"/>
        </w:rPr>
        <w:t>існування таких можливостей.</w:t>
      </w:r>
      <w:r w:rsidR="00175611">
        <w:rPr>
          <w:rFonts w:ascii="Times New Roman" w:hAnsi="Times New Roman" w:cs="Times New Roman"/>
          <w:sz w:val="24"/>
        </w:rPr>
        <w:t xml:space="preserve"> </w:t>
      </w:r>
      <w:r w:rsidRPr="00780C18">
        <w:rPr>
          <w:rStyle w:val="tlid-translation"/>
          <w:rFonts w:ascii="Times New Roman" w:hAnsi="Times New Roman" w:cs="Times New Roman"/>
          <w:sz w:val="24"/>
        </w:rPr>
        <w:t>Рекомендації сприя</w:t>
      </w:r>
      <w:r w:rsidR="00175611">
        <w:rPr>
          <w:rStyle w:val="tlid-translation"/>
          <w:rFonts w:ascii="Times New Roman" w:hAnsi="Times New Roman" w:cs="Times New Roman"/>
          <w:sz w:val="24"/>
        </w:rPr>
        <w:t>ють</w:t>
      </w:r>
      <w:r w:rsidRPr="00780C18">
        <w:rPr>
          <w:rStyle w:val="tlid-translation"/>
          <w:rFonts w:ascii="Times New Roman" w:hAnsi="Times New Roman" w:cs="Times New Roman"/>
          <w:sz w:val="24"/>
        </w:rPr>
        <w:t xml:space="preserve"> державам в</w:t>
      </w:r>
      <w:r w:rsidRPr="00780C18">
        <w:rPr>
          <w:rFonts w:ascii="Times New Roman" w:hAnsi="Times New Roman" w:cs="Times New Roman"/>
          <w:sz w:val="24"/>
        </w:rPr>
        <w:br/>
      </w:r>
      <w:r w:rsidRPr="00780C18">
        <w:rPr>
          <w:rStyle w:val="tlid-translation"/>
          <w:rFonts w:ascii="Times New Roman" w:hAnsi="Times New Roman" w:cs="Times New Roman"/>
          <w:sz w:val="24"/>
        </w:rPr>
        <w:t>забезпеченні можливостей для перегляду справ і відновлення</w:t>
      </w:r>
      <w:r w:rsidR="00175611">
        <w:rPr>
          <w:rFonts w:ascii="Times New Roman" w:hAnsi="Times New Roman" w:cs="Times New Roman"/>
          <w:sz w:val="24"/>
        </w:rPr>
        <w:t xml:space="preserve"> </w:t>
      </w:r>
      <w:r w:rsidRPr="00780C18">
        <w:rPr>
          <w:rStyle w:val="tlid-translation"/>
          <w:rFonts w:ascii="Times New Roman" w:hAnsi="Times New Roman" w:cs="Times New Roman"/>
          <w:sz w:val="24"/>
        </w:rPr>
        <w:t xml:space="preserve">провадження у справі на </w:t>
      </w:r>
      <w:r w:rsidR="00175611">
        <w:rPr>
          <w:rStyle w:val="tlid-translation"/>
          <w:rFonts w:ascii="Times New Roman" w:hAnsi="Times New Roman" w:cs="Times New Roman"/>
          <w:sz w:val="24"/>
        </w:rPr>
        <w:t>внутрішньому національному</w:t>
      </w:r>
      <w:r w:rsidRPr="00780C18">
        <w:rPr>
          <w:rStyle w:val="tlid-translation"/>
          <w:rFonts w:ascii="Times New Roman" w:hAnsi="Times New Roman" w:cs="Times New Roman"/>
          <w:sz w:val="24"/>
        </w:rPr>
        <w:t xml:space="preserve"> рівні з метою надання</w:t>
      </w:r>
      <w:r w:rsidR="00175611">
        <w:rPr>
          <w:rFonts w:ascii="Times New Roman" w:hAnsi="Times New Roman" w:cs="Times New Roman"/>
          <w:sz w:val="24"/>
        </w:rPr>
        <w:t xml:space="preserve"> </w:t>
      </w:r>
      <w:r w:rsidRPr="00780C18">
        <w:rPr>
          <w:rStyle w:val="tlid-translation"/>
          <w:rFonts w:ascii="Times New Roman" w:hAnsi="Times New Roman" w:cs="Times New Roman"/>
          <w:sz w:val="24"/>
        </w:rPr>
        <w:t xml:space="preserve">рішенням </w:t>
      </w:r>
      <w:r w:rsidR="00175611">
        <w:rPr>
          <w:rStyle w:val="tlid-translation"/>
          <w:rFonts w:ascii="Times New Roman" w:hAnsi="Times New Roman" w:cs="Times New Roman"/>
          <w:sz w:val="24"/>
        </w:rPr>
        <w:t>Європейського суду з прав людини</w:t>
      </w:r>
      <w:r w:rsidRPr="00780C18">
        <w:rPr>
          <w:rStyle w:val="tlid-translation"/>
          <w:rFonts w:ascii="Times New Roman" w:hAnsi="Times New Roman" w:cs="Times New Roman"/>
          <w:sz w:val="24"/>
        </w:rPr>
        <w:t xml:space="preserve"> найбільшої ефективності. </w:t>
      </w:r>
      <w:r w:rsidR="00175611">
        <w:rPr>
          <w:rStyle w:val="tlid-translation"/>
          <w:rFonts w:ascii="Times New Roman" w:hAnsi="Times New Roman" w:cs="Times New Roman"/>
          <w:sz w:val="24"/>
        </w:rPr>
        <w:t xml:space="preserve">Вищезазначені </w:t>
      </w:r>
      <w:r w:rsidRPr="00780C18">
        <w:rPr>
          <w:rStyle w:val="tlid-translation"/>
          <w:rFonts w:ascii="Times New Roman" w:hAnsi="Times New Roman" w:cs="Times New Roman"/>
          <w:sz w:val="24"/>
        </w:rPr>
        <w:t>обставини, при яких перегляд справ і</w:t>
      </w:r>
      <w:r w:rsidRPr="00780C18">
        <w:rPr>
          <w:rFonts w:ascii="Times New Roman" w:hAnsi="Times New Roman" w:cs="Times New Roman"/>
          <w:sz w:val="24"/>
        </w:rPr>
        <w:br/>
      </w:r>
      <w:r w:rsidRPr="00780C18">
        <w:rPr>
          <w:rStyle w:val="tlid-translation"/>
          <w:rFonts w:ascii="Times New Roman" w:hAnsi="Times New Roman" w:cs="Times New Roman"/>
          <w:sz w:val="24"/>
        </w:rPr>
        <w:lastRenderedPageBreak/>
        <w:t xml:space="preserve">відновлення провадження у справі на </w:t>
      </w:r>
      <w:r w:rsidR="00175611">
        <w:rPr>
          <w:rStyle w:val="tlid-translation"/>
          <w:rFonts w:ascii="Times New Roman" w:hAnsi="Times New Roman" w:cs="Times New Roman"/>
          <w:sz w:val="24"/>
        </w:rPr>
        <w:t>внутрішньому національному</w:t>
      </w:r>
      <w:r w:rsidR="00175611" w:rsidRPr="00780C18">
        <w:rPr>
          <w:rStyle w:val="tlid-translation"/>
          <w:rFonts w:ascii="Times New Roman" w:hAnsi="Times New Roman" w:cs="Times New Roman"/>
          <w:sz w:val="24"/>
        </w:rPr>
        <w:t xml:space="preserve"> </w:t>
      </w:r>
      <w:r w:rsidRPr="00780C18">
        <w:rPr>
          <w:rStyle w:val="tlid-translation"/>
          <w:rFonts w:ascii="Times New Roman" w:hAnsi="Times New Roman" w:cs="Times New Roman"/>
          <w:sz w:val="24"/>
        </w:rPr>
        <w:t>рівні</w:t>
      </w:r>
      <w:r w:rsidR="00175611">
        <w:rPr>
          <w:rFonts w:ascii="Times New Roman" w:hAnsi="Times New Roman" w:cs="Times New Roman"/>
          <w:sz w:val="24"/>
        </w:rPr>
        <w:t xml:space="preserve"> </w:t>
      </w:r>
      <w:r w:rsidRPr="00780C18">
        <w:rPr>
          <w:rStyle w:val="tlid-translation"/>
          <w:rFonts w:ascii="Times New Roman" w:hAnsi="Times New Roman" w:cs="Times New Roman"/>
          <w:sz w:val="24"/>
        </w:rPr>
        <w:t>мають особливу важливість, а в деяких випадках є єдиною</w:t>
      </w:r>
      <w:r w:rsidR="00175611">
        <w:rPr>
          <w:rFonts w:ascii="Times New Roman" w:hAnsi="Times New Roman" w:cs="Times New Roman"/>
          <w:sz w:val="24"/>
        </w:rPr>
        <w:t xml:space="preserve"> </w:t>
      </w:r>
      <w:r w:rsidRPr="00780C18">
        <w:rPr>
          <w:rStyle w:val="tlid-translation"/>
          <w:rFonts w:ascii="Times New Roman" w:hAnsi="Times New Roman" w:cs="Times New Roman"/>
          <w:sz w:val="24"/>
        </w:rPr>
        <w:t xml:space="preserve">можливістю для досягнення </w:t>
      </w:r>
      <w:r w:rsidRPr="00175611">
        <w:rPr>
          <w:rStyle w:val="tlid-translation"/>
          <w:rFonts w:ascii="Times New Roman" w:hAnsi="Times New Roman" w:cs="Times New Roman"/>
          <w:i/>
          <w:sz w:val="24"/>
        </w:rPr>
        <w:t>restitutio in integrum</w:t>
      </w:r>
      <w:r w:rsidRPr="00780C18">
        <w:rPr>
          <w:rStyle w:val="tlid-translation"/>
          <w:rFonts w:ascii="Times New Roman" w:hAnsi="Times New Roman" w:cs="Times New Roman"/>
          <w:sz w:val="24"/>
        </w:rPr>
        <w:t>.</w:t>
      </w:r>
      <w:r w:rsidR="00175611">
        <w:rPr>
          <w:rFonts w:ascii="Times New Roman" w:hAnsi="Times New Roman" w:cs="Times New Roman"/>
          <w:sz w:val="24"/>
        </w:rPr>
        <w:t xml:space="preserve"> </w:t>
      </w:r>
      <w:r w:rsidRPr="00780C18">
        <w:rPr>
          <w:rStyle w:val="tlid-translation"/>
          <w:rFonts w:ascii="Times New Roman" w:hAnsi="Times New Roman" w:cs="Times New Roman"/>
          <w:sz w:val="24"/>
        </w:rPr>
        <w:t xml:space="preserve">Практика органів, створених в рамках </w:t>
      </w:r>
      <w:r w:rsidR="00175611" w:rsidRPr="009A68BF">
        <w:rPr>
          <w:rStyle w:val="tlid-translation"/>
          <w:rFonts w:ascii="Times New Roman" w:hAnsi="Times New Roman" w:cs="Times New Roman"/>
          <w:sz w:val="24"/>
          <w:szCs w:val="24"/>
        </w:rPr>
        <w:t>Європейської конвенції з прав людини</w:t>
      </w:r>
      <w:r w:rsidRPr="00780C18">
        <w:rPr>
          <w:rStyle w:val="tlid-translation"/>
          <w:rFonts w:ascii="Times New Roman" w:hAnsi="Times New Roman" w:cs="Times New Roman"/>
          <w:sz w:val="24"/>
        </w:rPr>
        <w:t>,</w:t>
      </w:r>
      <w:r w:rsidRPr="00780C18">
        <w:rPr>
          <w:rFonts w:ascii="Times New Roman" w:hAnsi="Times New Roman" w:cs="Times New Roman"/>
          <w:sz w:val="24"/>
        </w:rPr>
        <w:br/>
      </w:r>
      <w:r w:rsidRPr="00780C18">
        <w:rPr>
          <w:rStyle w:val="tlid-translation"/>
          <w:rFonts w:ascii="Times New Roman" w:hAnsi="Times New Roman" w:cs="Times New Roman"/>
          <w:sz w:val="24"/>
        </w:rPr>
        <w:t xml:space="preserve">показує, що особливу важливість перегляд справ, включаючи </w:t>
      </w:r>
      <w:r w:rsidR="00175611" w:rsidRPr="00780C18">
        <w:rPr>
          <w:rStyle w:val="tlid-translation"/>
          <w:rFonts w:ascii="Times New Roman" w:hAnsi="Times New Roman" w:cs="Times New Roman"/>
          <w:sz w:val="24"/>
        </w:rPr>
        <w:t>відновлення</w:t>
      </w:r>
      <w:r w:rsidRPr="00780C18">
        <w:rPr>
          <w:rStyle w:val="tlid-translation"/>
          <w:rFonts w:ascii="Times New Roman" w:hAnsi="Times New Roman" w:cs="Times New Roman"/>
          <w:sz w:val="24"/>
        </w:rPr>
        <w:t xml:space="preserve"> провадження у </w:t>
      </w:r>
      <w:r w:rsidRPr="00175611">
        <w:rPr>
          <w:rStyle w:val="tlid-translation"/>
          <w:rFonts w:ascii="Times New Roman" w:hAnsi="Times New Roman" w:cs="Times New Roman"/>
          <w:sz w:val="24"/>
          <w:szCs w:val="24"/>
        </w:rPr>
        <w:t xml:space="preserve">справі на </w:t>
      </w:r>
      <w:r w:rsidR="00175611" w:rsidRPr="00175611">
        <w:rPr>
          <w:rStyle w:val="tlid-translation"/>
          <w:rFonts w:ascii="Times New Roman" w:hAnsi="Times New Roman" w:cs="Times New Roman"/>
          <w:sz w:val="24"/>
          <w:szCs w:val="24"/>
        </w:rPr>
        <w:t xml:space="preserve">внутрішньому національному </w:t>
      </w:r>
      <w:r w:rsidRPr="00175611">
        <w:rPr>
          <w:rStyle w:val="tlid-translation"/>
          <w:rFonts w:ascii="Times New Roman" w:hAnsi="Times New Roman" w:cs="Times New Roman"/>
          <w:sz w:val="24"/>
          <w:szCs w:val="24"/>
        </w:rPr>
        <w:t>рівні,</w:t>
      </w:r>
      <w:r w:rsidR="00175611" w:rsidRPr="00175611">
        <w:rPr>
          <w:rFonts w:ascii="Times New Roman" w:hAnsi="Times New Roman" w:cs="Times New Roman"/>
          <w:sz w:val="24"/>
          <w:szCs w:val="24"/>
        </w:rPr>
        <w:t xml:space="preserve"> </w:t>
      </w:r>
      <w:r w:rsidRPr="00175611">
        <w:rPr>
          <w:rStyle w:val="tlid-translation"/>
          <w:rFonts w:ascii="Times New Roman" w:hAnsi="Times New Roman" w:cs="Times New Roman"/>
          <w:sz w:val="24"/>
          <w:szCs w:val="24"/>
        </w:rPr>
        <w:t xml:space="preserve">має в кримінальному </w:t>
      </w:r>
      <w:r w:rsidR="00175611" w:rsidRPr="00175611">
        <w:rPr>
          <w:rStyle w:val="tlid-translation"/>
          <w:rFonts w:ascii="Times New Roman" w:hAnsi="Times New Roman" w:cs="Times New Roman"/>
          <w:sz w:val="24"/>
          <w:szCs w:val="24"/>
        </w:rPr>
        <w:t>праві</w:t>
      </w:r>
      <w:r w:rsidRPr="00175611"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:rsidR="00175611" w:rsidRPr="005F69FF" w:rsidRDefault="00175611" w:rsidP="00306601">
      <w:pPr>
        <w:spacing w:after="0"/>
        <w:ind w:firstLine="709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75611">
        <w:rPr>
          <w:rStyle w:val="tlid-translation"/>
          <w:rFonts w:ascii="Times New Roman" w:hAnsi="Times New Roman" w:cs="Times New Roman"/>
          <w:sz w:val="24"/>
          <w:szCs w:val="24"/>
        </w:rPr>
        <w:t>За останнє десятиліття практично всі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611">
        <w:rPr>
          <w:rStyle w:val="tlid-translation"/>
          <w:rFonts w:ascii="Times New Roman" w:hAnsi="Times New Roman" w:cs="Times New Roman"/>
          <w:sz w:val="24"/>
          <w:szCs w:val="24"/>
        </w:rPr>
        <w:t>держави-учасники створили в своєму внутрішньодержавному праві можливість перегляду остаточних судових рішень</w:t>
      </w:r>
      <w:r w:rsidRPr="00175611">
        <w:rPr>
          <w:rFonts w:ascii="Times New Roman" w:hAnsi="Times New Roman" w:cs="Times New Roman"/>
          <w:sz w:val="24"/>
          <w:szCs w:val="24"/>
        </w:rPr>
        <w:br/>
      </w:r>
      <w:r w:rsidRPr="00175611">
        <w:rPr>
          <w:rStyle w:val="tlid-translation"/>
          <w:rFonts w:ascii="Times New Roman" w:hAnsi="Times New Roman" w:cs="Times New Roman"/>
          <w:sz w:val="24"/>
          <w:szCs w:val="24"/>
        </w:rPr>
        <w:t xml:space="preserve">для виправлення порушень </w:t>
      </w:r>
      <w:r w:rsidRPr="009A68BF">
        <w:rPr>
          <w:rStyle w:val="tlid-translation"/>
          <w:rFonts w:ascii="Times New Roman" w:hAnsi="Times New Roman" w:cs="Times New Roman"/>
          <w:sz w:val="24"/>
          <w:szCs w:val="24"/>
        </w:rPr>
        <w:t>Європейської конвенції з прав людини</w:t>
      </w:r>
      <w:r w:rsidRPr="00175611">
        <w:rPr>
          <w:rStyle w:val="tlid-translation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особливо</w:t>
      </w:r>
      <w:r w:rsidRPr="00175611">
        <w:rPr>
          <w:rStyle w:val="tlid-translation"/>
          <w:rFonts w:ascii="Times New Roman" w:hAnsi="Times New Roman" w:cs="Times New Roman"/>
          <w:sz w:val="24"/>
          <w:szCs w:val="24"/>
        </w:rPr>
        <w:t xml:space="preserve"> в кримінальному процесі. Подібн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ому</w:t>
      </w:r>
      <w:r w:rsidRPr="00175611">
        <w:rPr>
          <w:rStyle w:val="tlid-translation"/>
          <w:rFonts w:ascii="Times New Roman" w:hAnsi="Times New Roman" w:cs="Times New Roman"/>
          <w:sz w:val="24"/>
          <w:szCs w:val="24"/>
        </w:rPr>
        <w:t xml:space="preserve"> розвит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ку</w:t>
      </w:r>
      <w:r w:rsidRPr="00175611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сприяла</w:t>
      </w:r>
      <w:r w:rsidRPr="00175611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F50DEF">
        <w:rPr>
          <w:rStyle w:val="tlid-translation"/>
          <w:rFonts w:ascii="Times New Roman" w:hAnsi="Times New Roman" w:cs="Times New Roman"/>
          <w:sz w:val="24"/>
        </w:rPr>
        <w:t>Рекомендація</w:t>
      </w:r>
      <w:r>
        <w:rPr>
          <w:rStyle w:val="tlid-translation"/>
          <w:rFonts w:ascii="Times New Roman" w:hAnsi="Times New Roman" w:cs="Times New Roman"/>
          <w:sz w:val="24"/>
        </w:rPr>
        <w:t xml:space="preserve"> </w:t>
      </w:r>
      <w:r w:rsidRPr="00B03F72">
        <w:rPr>
          <w:rFonts w:ascii="Times New Roman" w:hAnsi="Times New Roman" w:cs="Times New Roman"/>
          <w:sz w:val="24"/>
          <w:szCs w:val="24"/>
        </w:rPr>
        <w:t>№(2002)2 Комітету Міністрів Ради Європи</w:t>
      </w:r>
      <w:r>
        <w:rPr>
          <w:rFonts w:ascii="Times New Roman" w:hAnsi="Times New Roman" w:cs="Times New Roman"/>
          <w:sz w:val="24"/>
          <w:szCs w:val="24"/>
        </w:rPr>
        <w:t>, яка є</w:t>
      </w:r>
      <w:r w:rsidRPr="00175611">
        <w:rPr>
          <w:rStyle w:val="tlid-translation"/>
          <w:rFonts w:ascii="Times New Roman" w:hAnsi="Times New Roman" w:cs="Times New Roman"/>
          <w:sz w:val="24"/>
          <w:szCs w:val="24"/>
        </w:rPr>
        <w:t xml:space="preserve"> однією з найуспішніших в історії Ради Європи. У більш загальному плані, рекомендація сприяла наданню прецедентної сили постановами Європейського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с</w:t>
      </w:r>
      <w:r w:rsidRPr="00175611">
        <w:rPr>
          <w:rStyle w:val="tlid-translation"/>
          <w:rFonts w:ascii="Times New Roman" w:hAnsi="Times New Roman" w:cs="Times New Roman"/>
          <w:sz w:val="24"/>
          <w:szCs w:val="24"/>
        </w:rPr>
        <w:t>уду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з прав людини</w:t>
      </w:r>
      <w:r w:rsidRPr="00175611">
        <w:rPr>
          <w:rStyle w:val="tlid-translation"/>
          <w:rFonts w:ascii="Times New Roman" w:hAnsi="Times New Roman" w:cs="Times New Roman"/>
          <w:sz w:val="24"/>
          <w:szCs w:val="24"/>
        </w:rPr>
        <w:t>, стимулювала їх пряму дію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державах-учасницях, </w:t>
      </w:r>
      <w:r w:rsidRPr="005F69FF">
        <w:rPr>
          <w:rStyle w:val="tlid-translation"/>
          <w:rFonts w:ascii="Times New Roman" w:hAnsi="Times New Roman" w:cs="Times New Roman"/>
          <w:sz w:val="24"/>
          <w:szCs w:val="24"/>
        </w:rPr>
        <w:t>зробивши їх значущим елементом у внутрішньодержавному правовому процесі.</w:t>
      </w:r>
    </w:p>
    <w:p w:rsidR="005F7227" w:rsidRDefault="005F7227" w:rsidP="00306601">
      <w:pPr>
        <w:spacing w:after="0"/>
        <w:ind w:firstLine="709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F69FF">
        <w:rPr>
          <w:rStyle w:val="tlid-translation"/>
          <w:rFonts w:ascii="Times New Roman" w:hAnsi="Times New Roman" w:cs="Times New Roman"/>
          <w:sz w:val="24"/>
          <w:szCs w:val="24"/>
        </w:rPr>
        <w:t>В останні роки відповідні механізми були створені в Італії, Іспанії, Туреччини та Албанії, де тривалий час</w:t>
      </w:r>
      <w:r w:rsidR="005F69FF">
        <w:rPr>
          <w:rFonts w:ascii="Times New Roman" w:hAnsi="Times New Roman" w:cs="Times New Roman"/>
          <w:sz w:val="24"/>
          <w:szCs w:val="24"/>
        </w:rPr>
        <w:t xml:space="preserve"> </w:t>
      </w:r>
      <w:r w:rsidRPr="005F69FF">
        <w:rPr>
          <w:rStyle w:val="tlid-translation"/>
          <w:rFonts w:ascii="Times New Roman" w:hAnsi="Times New Roman" w:cs="Times New Roman"/>
          <w:sz w:val="24"/>
          <w:szCs w:val="24"/>
        </w:rPr>
        <w:t>перегляд судових рішень натрапляв</w:t>
      </w:r>
      <w:r w:rsidR="005F69FF">
        <w:rPr>
          <w:rFonts w:ascii="Times New Roman" w:hAnsi="Times New Roman" w:cs="Times New Roman"/>
          <w:sz w:val="24"/>
          <w:szCs w:val="24"/>
        </w:rPr>
        <w:t xml:space="preserve"> </w:t>
      </w:r>
      <w:r w:rsidRPr="005F69FF">
        <w:rPr>
          <w:rStyle w:val="tlid-translation"/>
          <w:rFonts w:ascii="Times New Roman" w:hAnsi="Times New Roman" w:cs="Times New Roman"/>
          <w:sz w:val="24"/>
          <w:szCs w:val="24"/>
        </w:rPr>
        <w:t>на серйозні перешкоди принципового</w:t>
      </w:r>
      <w:r w:rsidR="005F69FF">
        <w:rPr>
          <w:rFonts w:ascii="Times New Roman" w:hAnsi="Times New Roman" w:cs="Times New Roman"/>
          <w:sz w:val="24"/>
          <w:szCs w:val="24"/>
        </w:rPr>
        <w:t xml:space="preserve"> </w:t>
      </w:r>
      <w:r w:rsidRPr="005F69FF">
        <w:rPr>
          <w:rStyle w:val="tlid-translation"/>
          <w:rFonts w:ascii="Times New Roman" w:hAnsi="Times New Roman" w:cs="Times New Roman"/>
          <w:sz w:val="24"/>
          <w:szCs w:val="24"/>
        </w:rPr>
        <w:t>характеру. Рекомендація вплинула і</w:t>
      </w:r>
      <w:r w:rsidR="005F69FF">
        <w:rPr>
          <w:rFonts w:ascii="Times New Roman" w:hAnsi="Times New Roman" w:cs="Times New Roman"/>
          <w:sz w:val="24"/>
          <w:szCs w:val="24"/>
        </w:rPr>
        <w:t xml:space="preserve"> </w:t>
      </w:r>
      <w:r w:rsidRPr="005F69FF">
        <w:rPr>
          <w:rStyle w:val="tlid-translation"/>
          <w:rFonts w:ascii="Times New Roman" w:hAnsi="Times New Roman" w:cs="Times New Roman"/>
          <w:sz w:val="24"/>
          <w:szCs w:val="24"/>
        </w:rPr>
        <w:t>на українське</w:t>
      </w:r>
      <w:r w:rsidR="005F69FF" w:rsidRPr="005F69FF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право</w:t>
      </w:r>
      <w:r w:rsidR="005F69FF">
        <w:rPr>
          <w:rStyle w:val="tlid-translation"/>
          <w:rFonts w:ascii="Times New Roman" w:hAnsi="Times New Roman" w:cs="Times New Roman"/>
          <w:sz w:val="24"/>
          <w:szCs w:val="24"/>
        </w:rPr>
        <w:t xml:space="preserve">. В результаті </w:t>
      </w:r>
      <w:r w:rsidRPr="005F69FF">
        <w:rPr>
          <w:rStyle w:val="tlid-translation"/>
          <w:rFonts w:ascii="Times New Roman" w:hAnsi="Times New Roman" w:cs="Times New Roman"/>
          <w:sz w:val="24"/>
          <w:szCs w:val="24"/>
        </w:rPr>
        <w:t>можливість перегляду остаточних судових рішень</w:t>
      </w:r>
      <w:r w:rsidR="005F69FF">
        <w:rPr>
          <w:rFonts w:ascii="Times New Roman" w:hAnsi="Times New Roman" w:cs="Times New Roman"/>
          <w:sz w:val="24"/>
          <w:szCs w:val="24"/>
        </w:rPr>
        <w:t xml:space="preserve"> </w:t>
      </w:r>
      <w:r w:rsidRPr="005F69FF">
        <w:rPr>
          <w:rStyle w:val="tlid-translation"/>
          <w:rFonts w:ascii="Times New Roman" w:hAnsi="Times New Roman" w:cs="Times New Roman"/>
          <w:sz w:val="24"/>
          <w:szCs w:val="24"/>
        </w:rPr>
        <w:t>після констатації порушення Європейським</w:t>
      </w:r>
      <w:r w:rsidR="005F69FF">
        <w:rPr>
          <w:rFonts w:ascii="Times New Roman" w:hAnsi="Times New Roman" w:cs="Times New Roman"/>
          <w:sz w:val="24"/>
          <w:szCs w:val="24"/>
        </w:rPr>
        <w:t xml:space="preserve"> </w:t>
      </w:r>
      <w:r w:rsidR="005F69FF">
        <w:rPr>
          <w:rStyle w:val="tlid-translation"/>
          <w:rFonts w:ascii="Times New Roman" w:hAnsi="Times New Roman" w:cs="Times New Roman"/>
          <w:sz w:val="24"/>
          <w:szCs w:val="24"/>
        </w:rPr>
        <w:t>с</w:t>
      </w:r>
      <w:r w:rsidRPr="005F69FF">
        <w:rPr>
          <w:rStyle w:val="tlid-translation"/>
          <w:rFonts w:ascii="Times New Roman" w:hAnsi="Times New Roman" w:cs="Times New Roman"/>
          <w:sz w:val="24"/>
          <w:szCs w:val="24"/>
        </w:rPr>
        <w:t xml:space="preserve">удом </w:t>
      </w:r>
      <w:r w:rsidR="005F69FF">
        <w:rPr>
          <w:rStyle w:val="tlid-translation"/>
          <w:rFonts w:ascii="Times New Roman" w:hAnsi="Times New Roman" w:cs="Times New Roman"/>
          <w:sz w:val="24"/>
          <w:szCs w:val="24"/>
        </w:rPr>
        <w:t xml:space="preserve">з прав людини </w:t>
      </w:r>
      <w:r w:rsidRPr="005F69FF">
        <w:rPr>
          <w:rStyle w:val="tlid-translation"/>
          <w:rFonts w:ascii="Times New Roman" w:hAnsi="Times New Roman" w:cs="Times New Roman"/>
          <w:sz w:val="24"/>
          <w:szCs w:val="24"/>
        </w:rPr>
        <w:t xml:space="preserve">передбачена сьогодні в трьох основних процесуальних кодексах </w:t>
      </w:r>
      <w:r w:rsidR="005F69FF" w:rsidRPr="005F69FF">
        <w:rPr>
          <w:rStyle w:val="tlid-translation"/>
          <w:rFonts w:ascii="Times New Roman" w:hAnsi="Times New Roman" w:cs="Times New Roman"/>
          <w:sz w:val="24"/>
          <w:szCs w:val="24"/>
        </w:rPr>
        <w:t>України (цивільному процесуальному, кримінальному процесуальному та господарському процесуальному кодексі)</w:t>
      </w:r>
      <w:r w:rsidRPr="005F69FF"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:rsidR="007424DE" w:rsidRDefault="007424DE" w:rsidP="00306601">
      <w:pPr>
        <w:spacing w:after="0"/>
        <w:ind w:firstLine="709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7424DE" w:rsidRDefault="007424DE" w:rsidP="00306601">
      <w:pPr>
        <w:spacing w:after="0"/>
        <w:ind w:firstLine="709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424DE" w:rsidTr="00B3485C">
        <w:tc>
          <w:tcPr>
            <w:tcW w:w="4672" w:type="dxa"/>
          </w:tcPr>
          <w:p w:rsidR="007424DE" w:rsidRDefault="007424DE" w:rsidP="00306601">
            <w:pPr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424DE" w:rsidRPr="007424DE" w:rsidRDefault="007424DE" w:rsidP="007424DE">
            <w:pPr>
              <w:ind w:firstLine="709"/>
              <w:jc w:val="right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Сергій Бізденежний</w:t>
            </w:r>
          </w:p>
          <w:p w:rsidR="007424DE" w:rsidRDefault="007424DE" w:rsidP="007424DE">
            <w:pPr>
              <w:jc w:val="right"/>
              <w:rPr>
                <w:rStyle w:val="tlid-translation"/>
                <w:rFonts w:ascii="Times New Roman" w:hAnsi="Times New Roman" w:cs="Times New Roman"/>
                <w:i/>
                <w:sz w:val="16"/>
                <w:szCs w:val="16"/>
              </w:rPr>
            </w:pPr>
            <w:r w:rsidRPr="007424DE">
              <w:rPr>
                <w:rStyle w:val="tlid-translation"/>
                <w:rFonts w:ascii="Times New Roman" w:hAnsi="Times New Roman" w:cs="Times New Roman"/>
                <w:i/>
                <w:sz w:val="16"/>
                <w:szCs w:val="16"/>
              </w:rPr>
              <w:t>адвокат, Регіональний координатор взаємодії</w:t>
            </w:r>
          </w:p>
          <w:p w:rsidR="007424DE" w:rsidRDefault="007424DE" w:rsidP="007424DE">
            <w:pPr>
              <w:jc w:val="right"/>
              <w:rPr>
                <w:rStyle w:val="tlid-translation"/>
                <w:rFonts w:ascii="Times New Roman" w:hAnsi="Times New Roman" w:cs="Times New Roman"/>
                <w:i/>
                <w:sz w:val="16"/>
                <w:szCs w:val="16"/>
              </w:rPr>
            </w:pPr>
            <w:r w:rsidRPr="007424DE">
              <w:rPr>
                <w:rStyle w:val="tlid-translation"/>
                <w:rFonts w:ascii="Times New Roman" w:hAnsi="Times New Roman" w:cs="Times New Roman"/>
                <w:i/>
                <w:sz w:val="16"/>
                <w:szCs w:val="16"/>
              </w:rPr>
              <w:t xml:space="preserve"> з громадськістю Уповноваженого Верховної Ради України </w:t>
            </w:r>
          </w:p>
          <w:p w:rsidR="007424DE" w:rsidRPr="007424DE" w:rsidRDefault="007424DE" w:rsidP="007424DE">
            <w:pPr>
              <w:jc w:val="right"/>
              <w:rPr>
                <w:rStyle w:val="tlid-translation"/>
                <w:rFonts w:ascii="Times New Roman" w:hAnsi="Times New Roman" w:cs="Times New Roman"/>
                <w:i/>
                <w:sz w:val="16"/>
                <w:szCs w:val="16"/>
              </w:rPr>
            </w:pPr>
            <w:r w:rsidRPr="007424DE">
              <w:rPr>
                <w:rStyle w:val="tlid-translation"/>
                <w:rFonts w:ascii="Times New Roman" w:hAnsi="Times New Roman" w:cs="Times New Roman"/>
                <w:i/>
                <w:sz w:val="16"/>
                <w:szCs w:val="16"/>
              </w:rPr>
              <w:t>з прав людини в Запорізькій області</w:t>
            </w:r>
          </w:p>
        </w:tc>
      </w:tr>
    </w:tbl>
    <w:p w:rsidR="007424DE" w:rsidRDefault="007424DE" w:rsidP="00306601">
      <w:pPr>
        <w:spacing w:after="0"/>
        <w:ind w:firstLine="709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7424DE" w:rsidRDefault="007424DE" w:rsidP="00306601">
      <w:pPr>
        <w:spacing w:after="0"/>
        <w:ind w:firstLine="709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7424DE" w:rsidRPr="005F69FF" w:rsidRDefault="007424DE" w:rsidP="007424DE">
      <w:pPr>
        <w:spacing w:after="0"/>
        <w:ind w:firstLine="709"/>
        <w:jc w:val="right"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175611" w:rsidRPr="00175611" w:rsidRDefault="00175611" w:rsidP="003066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9A2" w:rsidRDefault="00B679A2">
      <w:pPr>
        <w:rPr>
          <w:rFonts w:ascii="Times New Roman" w:hAnsi="Times New Roman" w:cs="Times New Roman"/>
          <w:sz w:val="24"/>
        </w:rPr>
      </w:pPr>
    </w:p>
    <w:p w:rsidR="00DB4867" w:rsidRDefault="00DB4867">
      <w:pPr>
        <w:rPr>
          <w:rFonts w:ascii="Times New Roman" w:hAnsi="Times New Roman" w:cs="Times New Roman"/>
          <w:sz w:val="24"/>
        </w:rPr>
      </w:pPr>
    </w:p>
    <w:p w:rsidR="00B679A2" w:rsidRDefault="00B679A2">
      <w:pPr>
        <w:rPr>
          <w:rFonts w:ascii="Times New Roman" w:hAnsi="Times New Roman" w:cs="Times New Roman"/>
          <w:sz w:val="24"/>
        </w:rPr>
      </w:pPr>
    </w:p>
    <w:p w:rsidR="00B679A2" w:rsidRDefault="00B679A2">
      <w:pPr>
        <w:rPr>
          <w:rFonts w:ascii="Times New Roman" w:hAnsi="Times New Roman" w:cs="Times New Roman"/>
          <w:sz w:val="24"/>
        </w:rPr>
      </w:pPr>
    </w:p>
    <w:p w:rsidR="00B679A2" w:rsidRDefault="00B679A2">
      <w:pPr>
        <w:rPr>
          <w:rFonts w:ascii="Times New Roman" w:hAnsi="Times New Roman" w:cs="Times New Roman"/>
          <w:sz w:val="24"/>
        </w:rPr>
      </w:pPr>
    </w:p>
    <w:sectPr w:rsidR="00B679A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228" w:rsidRDefault="00E93228" w:rsidP="0018294F">
      <w:pPr>
        <w:spacing w:after="0" w:line="240" w:lineRule="auto"/>
      </w:pPr>
      <w:r>
        <w:separator/>
      </w:r>
    </w:p>
  </w:endnote>
  <w:endnote w:type="continuationSeparator" w:id="0">
    <w:p w:rsidR="00E93228" w:rsidRDefault="00E93228" w:rsidP="0018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163077"/>
      <w:docPartObj>
        <w:docPartGallery w:val="Page Numbers (Bottom of Page)"/>
        <w:docPartUnique/>
      </w:docPartObj>
    </w:sdtPr>
    <w:sdtEndPr/>
    <w:sdtContent>
      <w:p w:rsidR="0018294F" w:rsidRDefault="0018294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9AB" w:rsidRPr="005929AB">
          <w:rPr>
            <w:noProof/>
            <w:lang w:val="ru-RU"/>
          </w:rPr>
          <w:t>1</w:t>
        </w:r>
        <w:r>
          <w:fldChar w:fldCharType="end"/>
        </w:r>
      </w:p>
    </w:sdtContent>
  </w:sdt>
  <w:p w:rsidR="0018294F" w:rsidRDefault="0018294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228" w:rsidRDefault="00E93228" w:rsidP="0018294F">
      <w:pPr>
        <w:spacing w:after="0" w:line="240" w:lineRule="auto"/>
      </w:pPr>
      <w:r>
        <w:separator/>
      </w:r>
    </w:p>
  </w:footnote>
  <w:footnote w:type="continuationSeparator" w:id="0">
    <w:p w:rsidR="00E93228" w:rsidRDefault="00E93228" w:rsidP="0018294F">
      <w:pPr>
        <w:spacing w:after="0" w:line="240" w:lineRule="auto"/>
      </w:pPr>
      <w:r>
        <w:continuationSeparator/>
      </w:r>
    </w:p>
  </w:footnote>
  <w:footnote w:id="1">
    <w:p w:rsidR="00564F71" w:rsidRDefault="00564F71">
      <w:pPr>
        <w:pStyle w:val="ab"/>
      </w:pPr>
      <w:r>
        <w:rPr>
          <w:rStyle w:val="ad"/>
        </w:rPr>
        <w:footnoteRef/>
      </w:r>
      <w:r w:rsidRPr="00564F71">
        <w:rPr>
          <w:rStyle w:val="tlid-translation"/>
          <w:rFonts w:ascii="Times New Roman" w:hAnsi="Times New Roman" w:cs="Times New Roman"/>
          <w:i/>
          <w:sz w:val="16"/>
          <w:szCs w:val="16"/>
        </w:rPr>
        <w:t xml:space="preserve">Рекомендація </w:t>
      </w:r>
      <w:r w:rsidRPr="00564F71">
        <w:rPr>
          <w:rFonts w:ascii="Times New Roman" w:hAnsi="Times New Roman" w:cs="Times New Roman"/>
          <w:i/>
          <w:sz w:val="16"/>
          <w:szCs w:val="16"/>
        </w:rPr>
        <w:t>№(2002) 2 Комітету Міністрів Ради Європи</w:t>
      </w:r>
      <w:r>
        <w:rPr>
          <w:rFonts w:ascii="Times New Roman" w:hAnsi="Times New Roman" w:cs="Times New Roman"/>
          <w:i/>
          <w:sz w:val="16"/>
          <w:szCs w:val="16"/>
        </w:rPr>
        <w:t xml:space="preserve">, посилання: </w:t>
      </w:r>
      <w:r w:rsidRPr="00564F71">
        <w:rPr>
          <w:rFonts w:ascii="Times New Roman" w:hAnsi="Times New Roman" w:cs="Times New Roman"/>
          <w:i/>
          <w:sz w:val="16"/>
          <w:szCs w:val="16"/>
        </w:rPr>
        <w:t xml:space="preserve"> </w:t>
      </w:r>
      <w:hyperlink r:id="rId1" w:history="1">
        <w:r w:rsidRPr="00564F71">
          <w:rPr>
            <w:rStyle w:val="a5"/>
            <w:rFonts w:ascii="Times New Roman" w:hAnsi="Times New Roman" w:cs="Times New Roman"/>
            <w:i/>
            <w:sz w:val="16"/>
            <w:szCs w:val="16"/>
          </w:rPr>
          <w:t>https://zakon.rada.gov.ua/laws/show/994_175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00518"/>
    <w:multiLevelType w:val="hybridMultilevel"/>
    <w:tmpl w:val="6D08637A"/>
    <w:lvl w:ilvl="0" w:tplc="B04A9BCA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D6"/>
    <w:rsid w:val="000B6789"/>
    <w:rsid w:val="001010E2"/>
    <w:rsid w:val="00175611"/>
    <w:rsid w:val="0018294F"/>
    <w:rsid w:val="00213708"/>
    <w:rsid w:val="00246AD6"/>
    <w:rsid w:val="00306601"/>
    <w:rsid w:val="003401AC"/>
    <w:rsid w:val="004B353F"/>
    <w:rsid w:val="004E4530"/>
    <w:rsid w:val="0051036C"/>
    <w:rsid w:val="00564F71"/>
    <w:rsid w:val="005929AB"/>
    <w:rsid w:val="005F69FF"/>
    <w:rsid w:val="005F7227"/>
    <w:rsid w:val="006F40C2"/>
    <w:rsid w:val="007045E6"/>
    <w:rsid w:val="007424DE"/>
    <w:rsid w:val="00780C18"/>
    <w:rsid w:val="0087217A"/>
    <w:rsid w:val="00875F7F"/>
    <w:rsid w:val="009324FA"/>
    <w:rsid w:val="009A68BF"/>
    <w:rsid w:val="00A33FD5"/>
    <w:rsid w:val="00B03F72"/>
    <w:rsid w:val="00B3485C"/>
    <w:rsid w:val="00B679A2"/>
    <w:rsid w:val="00BA4EAA"/>
    <w:rsid w:val="00BB1FBE"/>
    <w:rsid w:val="00BB7453"/>
    <w:rsid w:val="00C55BE7"/>
    <w:rsid w:val="00DB4867"/>
    <w:rsid w:val="00E93228"/>
    <w:rsid w:val="00F34610"/>
    <w:rsid w:val="00F50DEF"/>
    <w:rsid w:val="00FF0E96"/>
    <w:rsid w:val="00FF231B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81AAA-447A-4CB5-8E51-70B80AA3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9A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9A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06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660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875F7F"/>
  </w:style>
  <w:style w:type="character" w:styleId="a4">
    <w:name w:val="Emphasis"/>
    <w:basedOn w:val="a0"/>
    <w:uiPriority w:val="20"/>
    <w:qFormat/>
    <w:rsid w:val="00FF0E96"/>
    <w:rPr>
      <w:i/>
      <w:iCs/>
    </w:rPr>
  </w:style>
  <w:style w:type="character" w:styleId="a5">
    <w:name w:val="Hyperlink"/>
    <w:basedOn w:val="a0"/>
    <w:uiPriority w:val="99"/>
    <w:unhideWhenUsed/>
    <w:rsid w:val="009A68B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8B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82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294F"/>
    <w:rPr>
      <w:lang w:val="uk-UA"/>
    </w:rPr>
  </w:style>
  <w:style w:type="paragraph" w:styleId="a9">
    <w:name w:val="footer"/>
    <w:basedOn w:val="a"/>
    <w:link w:val="aa"/>
    <w:uiPriority w:val="99"/>
    <w:unhideWhenUsed/>
    <w:rsid w:val="00182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294F"/>
    <w:rPr>
      <w:lang w:val="uk-UA"/>
    </w:rPr>
  </w:style>
  <w:style w:type="paragraph" w:styleId="ab">
    <w:name w:val="footnote text"/>
    <w:basedOn w:val="a"/>
    <w:link w:val="ac"/>
    <w:uiPriority w:val="99"/>
    <w:semiHidden/>
    <w:unhideWhenUsed/>
    <w:rsid w:val="00564F7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64F71"/>
    <w:rPr>
      <w:sz w:val="20"/>
      <w:szCs w:val="20"/>
      <w:lang w:val="uk-UA"/>
    </w:rPr>
  </w:style>
  <w:style w:type="character" w:styleId="ad">
    <w:name w:val="footnote reference"/>
    <w:basedOn w:val="a0"/>
    <w:uiPriority w:val="99"/>
    <w:semiHidden/>
    <w:unhideWhenUsed/>
    <w:rsid w:val="00564F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zakon.rada.gov.ua/laws/show/994_1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BF31C-B420-4CAA-9580-651B885F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</cp:lastModifiedBy>
  <cp:revision>2</cp:revision>
  <dcterms:created xsi:type="dcterms:W3CDTF">2020-03-22T16:54:00Z</dcterms:created>
  <dcterms:modified xsi:type="dcterms:W3CDTF">2020-03-22T16:54:00Z</dcterms:modified>
</cp:coreProperties>
</file>