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940"/>
      </w:tblGrid>
      <w:tr w:rsidR="009937E2" w:rsidRPr="00775231" w:rsidTr="00E321EC">
        <w:tc>
          <w:tcPr>
            <w:tcW w:w="2405" w:type="dxa"/>
          </w:tcPr>
          <w:p w:rsidR="009937E2" w:rsidRPr="00B36642" w:rsidRDefault="009937E2" w:rsidP="00E321EC">
            <w:pPr>
              <w:jc w:val="center"/>
              <w:rPr>
                <w:rFonts w:ascii="Times New Roman" w:hAnsi="Times New Roman" w:cs="Times New Roman"/>
                <w:sz w:val="24"/>
                <w:lang w:val="uk-UA"/>
              </w:rPr>
            </w:pPr>
            <w:r w:rsidRPr="00B36642">
              <w:rPr>
                <w:rFonts w:ascii="Times New Roman" w:hAnsi="Times New Roman" w:cs="Times New Roman"/>
                <w:noProof/>
                <w:sz w:val="24"/>
                <w:lang w:eastAsia="ru-RU"/>
              </w:rPr>
              <w:drawing>
                <wp:inline distT="0" distB="0" distL="0" distR="0" wp14:anchorId="47C71C77" wp14:editId="3C9BE170">
                  <wp:extent cx="877773" cy="12013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1532" cy="1206476"/>
                          </a:xfrm>
                          <a:prstGeom prst="rect">
                            <a:avLst/>
                          </a:prstGeom>
                        </pic:spPr>
                      </pic:pic>
                    </a:graphicData>
                  </a:graphic>
                </wp:inline>
              </w:drawing>
            </w:r>
          </w:p>
          <w:p w:rsidR="009937E2" w:rsidRPr="00B36642" w:rsidRDefault="009937E2" w:rsidP="00E321EC">
            <w:pPr>
              <w:jc w:val="center"/>
              <w:rPr>
                <w:rFonts w:ascii="Times New Roman" w:hAnsi="Times New Roman" w:cs="Times New Roman"/>
                <w:i/>
                <w:sz w:val="24"/>
                <w:lang w:val="uk-UA"/>
              </w:rPr>
            </w:pPr>
          </w:p>
        </w:tc>
        <w:tc>
          <w:tcPr>
            <w:tcW w:w="6940" w:type="dxa"/>
          </w:tcPr>
          <w:p w:rsidR="009937E2" w:rsidRDefault="009937E2" w:rsidP="00E321EC">
            <w:pPr>
              <w:jc w:val="center"/>
              <w:rPr>
                <w:rFonts w:ascii="Times New Roman" w:hAnsi="Times New Roman" w:cs="Times New Roman"/>
                <w:sz w:val="24"/>
                <w:lang w:val="uk-UA"/>
              </w:rPr>
            </w:pPr>
          </w:p>
          <w:p w:rsidR="009937E2" w:rsidRPr="009937E2" w:rsidRDefault="009937E2" w:rsidP="00E321EC">
            <w:pPr>
              <w:jc w:val="center"/>
              <w:rPr>
                <w:rFonts w:ascii="Times New Roman" w:hAnsi="Times New Roman" w:cs="Times New Roman"/>
                <w:b/>
                <w:sz w:val="24"/>
                <w:szCs w:val="24"/>
                <w:lang w:val="uk-UA"/>
              </w:rPr>
            </w:pPr>
            <w:r w:rsidRPr="009937E2">
              <w:rPr>
                <w:rFonts w:ascii="Times New Roman" w:hAnsi="Times New Roman" w:cs="Times New Roman"/>
                <w:b/>
                <w:sz w:val="24"/>
                <w:lang w:val="uk-UA"/>
              </w:rPr>
              <w:t xml:space="preserve">Принцип </w:t>
            </w:r>
            <w:r w:rsidRPr="009937E2">
              <w:rPr>
                <w:rFonts w:ascii="Times New Roman" w:hAnsi="Times New Roman" w:cs="Times New Roman"/>
                <w:b/>
                <w:sz w:val="24"/>
                <w:szCs w:val="24"/>
                <w:lang w:val="uk-UA"/>
              </w:rPr>
              <w:t>безсторонності суду</w:t>
            </w:r>
            <w:r w:rsidRPr="009937E2">
              <w:rPr>
                <w:rFonts w:ascii="Times New Roman" w:hAnsi="Times New Roman" w:cs="Times New Roman"/>
                <w:b/>
                <w:sz w:val="24"/>
                <w:lang w:val="uk-UA"/>
              </w:rPr>
              <w:t xml:space="preserve"> у практиці Європейського суду з прав людини</w:t>
            </w:r>
          </w:p>
        </w:tc>
      </w:tr>
    </w:tbl>
    <w:p w:rsidR="007208F6" w:rsidRDefault="007208F6"/>
    <w:p w:rsidR="008A1F5D" w:rsidRPr="008A1F5D" w:rsidRDefault="008A1F5D" w:rsidP="001A2E0C">
      <w:pPr>
        <w:pStyle w:val="1"/>
        <w:shd w:val="clear" w:color="auto" w:fill="auto"/>
        <w:spacing w:after="0" w:line="240" w:lineRule="auto"/>
        <w:ind w:right="20" w:firstLine="708"/>
        <w:jc w:val="both"/>
        <w:rPr>
          <w:color w:val="000000"/>
          <w:sz w:val="24"/>
          <w:szCs w:val="24"/>
          <w:lang w:val="uk-UA" w:eastAsia="uk-UA" w:bidi="uk-UA"/>
        </w:rPr>
      </w:pPr>
      <w:r w:rsidRPr="008A1F5D">
        <w:rPr>
          <w:color w:val="000000"/>
          <w:sz w:val="24"/>
          <w:lang w:val="uk-UA" w:eastAsia="uk-UA" w:bidi="uk-UA"/>
        </w:rPr>
        <w:t xml:space="preserve">Незалежність суду </w:t>
      </w:r>
      <w:r>
        <w:rPr>
          <w:color w:val="000000"/>
          <w:sz w:val="24"/>
          <w:lang w:val="uk-UA" w:eastAsia="uk-UA" w:bidi="uk-UA"/>
        </w:rPr>
        <w:t>–</w:t>
      </w:r>
      <w:r w:rsidRPr="008A1F5D">
        <w:rPr>
          <w:color w:val="000000"/>
          <w:sz w:val="24"/>
          <w:lang w:val="uk-UA" w:eastAsia="uk-UA" w:bidi="uk-UA"/>
        </w:rPr>
        <w:t xml:space="preserve"> це обов’язкова вимога правової держави, без забезпечення цього принципу судовий розгляд перетворюється у фарс, а судова влада - на маріонетку в руках зацікавлених осіб. Існує позиція, згідно з якою у конструкції права на суд незалежність суду має першоря</w:t>
      </w:r>
      <w:bookmarkStart w:id="0" w:name="_GoBack"/>
      <w:bookmarkEnd w:id="0"/>
      <w:r w:rsidRPr="008A1F5D">
        <w:rPr>
          <w:color w:val="000000"/>
          <w:sz w:val="24"/>
          <w:lang w:val="uk-UA" w:eastAsia="uk-UA" w:bidi="uk-UA"/>
        </w:rPr>
        <w:t xml:space="preserve">дне значення, оскільки в усіх національних законодавствах це положення формується як принципи судоустрою та судових проваджень. Незалежність суду означає, що окремі судді та незалежність судової влади як інституту є вільними від впливу і втручання з боку інших гілок влади, так само як і від </w:t>
      </w:r>
      <w:r w:rsidRPr="008A1F5D">
        <w:rPr>
          <w:color w:val="000000"/>
          <w:sz w:val="24"/>
          <w:szCs w:val="24"/>
          <w:lang w:val="uk-UA" w:eastAsia="uk-UA" w:bidi="uk-UA"/>
        </w:rPr>
        <w:t>впливу приватних та політичних інтересів</w:t>
      </w:r>
      <w:r w:rsidRPr="008A1F5D">
        <w:rPr>
          <w:rStyle w:val="a7"/>
          <w:color w:val="000000"/>
          <w:sz w:val="24"/>
          <w:szCs w:val="24"/>
          <w:lang w:val="uk-UA" w:eastAsia="uk-UA" w:bidi="uk-UA"/>
        </w:rPr>
        <w:footnoteReference w:id="1"/>
      </w:r>
      <w:r w:rsidRPr="008A1F5D">
        <w:rPr>
          <w:color w:val="000000"/>
          <w:sz w:val="24"/>
          <w:szCs w:val="24"/>
          <w:lang w:val="uk-UA" w:eastAsia="uk-UA" w:bidi="uk-UA"/>
        </w:rPr>
        <w:t>.</w:t>
      </w:r>
    </w:p>
    <w:p w:rsidR="008A1F5D" w:rsidRPr="008A1F5D" w:rsidRDefault="00BD3FA3" w:rsidP="001A2E0C">
      <w:pPr>
        <w:pStyle w:val="1"/>
        <w:shd w:val="clear" w:color="auto" w:fill="auto"/>
        <w:spacing w:after="0" w:line="240" w:lineRule="auto"/>
        <w:ind w:right="20" w:firstLine="708"/>
        <w:jc w:val="both"/>
        <w:rPr>
          <w:sz w:val="24"/>
          <w:szCs w:val="24"/>
          <w:lang w:val="uk-UA"/>
        </w:rPr>
      </w:pPr>
      <w:r>
        <w:rPr>
          <w:sz w:val="24"/>
          <w:szCs w:val="24"/>
          <w:lang w:val="uk-UA"/>
        </w:rPr>
        <w:t>Так у</w:t>
      </w:r>
      <w:r w:rsidR="008A1F5D" w:rsidRPr="008A1F5D">
        <w:rPr>
          <w:sz w:val="24"/>
          <w:szCs w:val="24"/>
          <w:lang w:val="uk-UA"/>
        </w:rPr>
        <w:t xml:space="preserve"> справі “Дактарас проти Литви” Суд зазначив, що пункт 1 статті 6 Конвенції містить два аспекти вимоги безсторонності.</w:t>
      </w:r>
    </w:p>
    <w:p w:rsidR="008A1F5D" w:rsidRDefault="008A1F5D" w:rsidP="001A2E0C">
      <w:pPr>
        <w:pStyle w:val="1"/>
        <w:shd w:val="clear" w:color="auto" w:fill="auto"/>
        <w:spacing w:after="0" w:line="240" w:lineRule="auto"/>
        <w:ind w:right="20" w:firstLine="708"/>
        <w:jc w:val="both"/>
        <w:rPr>
          <w:sz w:val="24"/>
          <w:szCs w:val="24"/>
          <w:lang w:val="uk-UA"/>
        </w:rPr>
      </w:pPr>
      <w:r w:rsidRPr="008A1F5D">
        <w:rPr>
          <w:sz w:val="24"/>
          <w:szCs w:val="24"/>
          <w:lang w:val="uk-UA"/>
        </w:rPr>
        <w:t xml:space="preserve">По-перше, орган, який розглядає справу, повинен бути безстороннім суб’єктивно, тобто жодний його член не повинен мати будь-якої особистої зацікавленості або упередженості. Вважається, що суддя є безстороннім, якщо немає доказів, які б свідчили про протилежне. </w:t>
      </w:r>
    </w:p>
    <w:p w:rsidR="009937E2" w:rsidRDefault="008A1F5D" w:rsidP="001A2E0C">
      <w:pPr>
        <w:pStyle w:val="1"/>
        <w:shd w:val="clear" w:color="auto" w:fill="auto"/>
        <w:spacing w:after="0" w:line="240" w:lineRule="auto"/>
        <w:ind w:right="20" w:firstLine="708"/>
        <w:jc w:val="both"/>
        <w:rPr>
          <w:sz w:val="24"/>
          <w:szCs w:val="24"/>
          <w:lang w:val="uk-UA"/>
        </w:rPr>
      </w:pPr>
      <w:r w:rsidRPr="008A1F5D">
        <w:rPr>
          <w:sz w:val="24"/>
          <w:szCs w:val="24"/>
          <w:lang w:val="uk-UA"/>
        </w:rPr>
        <w:t>По</w:t>
      </w:r>
      <w:r w:rsidRPr="008A1F5D">
        <w:rPr>
          <w:sz w:val="24"/>
          <w:szCs w:val="24"/>
          <w:lang w:val="uk-UA"/>
        </w:rPr>
        <w:softHyphen/>
      </w:r>
      <w:r>
        <w:rPr>
          <w:sz w:val="24"/>
          <w:szCs w:val="24"/>
          <w:lang w:val="uk-UA"/>
        </w:rPr>
        <w:t>-</w:t>
      </w:r>
      <w:r w:rsidRPr="008A1F5D">
        <w:rPr>
          <w:sz w:val="24"/>
          <w:szCs w:val="24"/>
          <w:lang w:val="uk-UA"/>
        </w:rPr>
        <w:t>друге, такий орган повинен бути безстороннім з об’єктивного погляду, тобто, він повинен нада</w:t>
      </w:r>
      <w:r w:rsidRPr="008A1F5D">
        <w:rPr>
          <w:sz w:val="24"/>
          <w:szCs w:val="24"/>
          <w:lang w:val="uk-UA"/>
        </w:rPr>
        <w:softHyphen/>
        <w:t>ти достатні гарантії, які б виключали будь-які законні сумніви стосовно цього. Згідно з критерієм об’єктивної безсторонності, необхідно з’ясувати, чи існують факти, встановлення яких може викликати сумніви щодо безсторонності суддів</w:t>
      </w:r>
      <w:r>
        <w:rPr>
          <w:sz w:val="24"/>
          <w:szCs w:val="24"/>
          <w:lang w:val="uk-UA"/>
        </w:rPr>
        <w:t>.</w:t>
      </w:r>
    </w:p>
    <w:p w:rsidR="008A1F5D" w:rsidRPr="00BD3FA3" w:rsidRDefault="008A1F5D" w:rsidP="008A1F5D">
      <w:pPr>
        <w:spacing w:after="0"/>
        <w:ind w:firstLine="708"/>
        <w:jc w:val="both"/>
        <w:rPr>
          <w:rFonts w:ascii="Times New Roman" w:hAnsi="Times New Roman" w:cs="Times New Roman"/>
          <w:sz w:val="24"/>
          <w:szCs w:val="24"/>
          <w:lang w:val="uk-UA"/>
        </w:rPr>
      </w:pPr>
      <w:r w:rsidRPr="00DE01DF">
        <w:rPr>
          <w:rFonts w:ascii="Times New Roman" w:hAnsi="Times New Roman" w:cs="Times New Roman"/>
          <w:sz w:val="24"/>
          <w:szCs w:val="24"/>
          <w:lang w:val="uk-UA"/>
        </w:rPr>
        <w:t>У справі № 23805/94</w:t>
      </w:r>
      <w:r w:rsidRPr="00DE01DF">
        <w:rPr>
          <w:rFonts w:ascii="Times New Roman" w:hAnsi="Times New Roman" w:cs="Times New Roman"/>
          <w:iCs/>
          <w:sz w:val="24"/>
          <w:szCs w:val="24"/>
          <w:lang w:val="uk-UA"/>
        </w:rPr>
        <w:t xml:space="preserve">  від 04.12.1995 р. Bellet v. France</w:t>
      </w:r>
      <w:r w:rsidRPr="00DE01DF">
        <w:rPr>
          <w:rFonts w:ascii="Times New Roman" w:hAnsi="Times New Roman" w:cs="Times New Roman"/>
          <w:sz w:val="24"/>
          <w:szCs w:val="24"/>
          <w:lang w:val="uk-UA"/>
        </w:rPr>
        <w:t xml:space="preserve"> Європейський суд зазначив, що </w:t>
      </w:r>
      <w:r w:rsidRPr="00DE01DF">
        <w:rPr>
          <w:rFonts w:ascii="Times New Roman" w:hAnsi="Times New Roman" w:cs="Times New Roman"/>
          <w:iCs/>
          <w:sz w:val="24"/>
          <w:szCs w:val="24"/>
          <w:lang w:val="uk-UA"/>
        </w:rPr>
        <w:t xml:space="preserve">„стаття 6 § 1 Конвенції містить гарантії справедливого судочинства, одним з аспектів яких є доступ до суду. Рівень доступу, наданий національним законодавством, має бути достатнім для забезпечення права особи на суд з огляду на принцип верховенства права в демократичному суспільстві. Для того, щоб доступ був ефективним, особа повинна мати чітку </w:t>
      </w:r>
      <w:r w:rsidRPr="00BD3FA3">
        <w:rPr>
          <w:rFonts w:ascii="Times New Roman" w:hAnsi="Times New Roman" w:cs="Times New Roman"/>
          <w:iCs/>
          <w:sz w:val="24"/>
          <w:szCs w:val="24"/>
          <w:lang w:val="uk-UA"/>
        </w:rPr>
        <w:t>практичну можливість оскаржити дії, які становлять втручання у її права"</w:t>
      </w:r>
      <w:r w:rsidRPr="00BD3FA3">
        <w:rPr>
          <w:rFonts w:ascii="Times New Roman" w:hAnsi="Times New Roman" w:cs="Times New Roman"/>
          <w:sz w:val="24"/>
          <w:szCs w:val="24"/>
          <w:lang w:val="uk-UA"/>
        </w:rPr>
        <w:t>.</w:t>
      </w:r>
    </w:p>
    <w:p w:rsidR="008A1F5D" w:rsidRPr="00BD3FA3" w:rsidRDefault="008A1F5D" w:rsidP="00ED26E5">
      <w:pPr>
        <w:spacing w:after="0"/>
        <w:ind w:firstLine="708"/>
        <w:jc w:val="both"/>
        <w:rPr>
          <w:rFonts w:ascii="Times New Roman" w:hAnsi="Times New Roman" w:cs="Times New Roman"/>
          <w:sz w:val="24"/>
          <w:szCs w:val="24"/>
          <w:lang w:val="uk-UA"/>
        </w:rPr>
      </w:pPr>
      <w:r w:rsidRPr="00BD3FA3">
        <w:rPr>
          <w:rFonts w:ascii="Times New Roman" w:hAnsi="Times New Roman" w:cs="Times New Roman"/>
          <w:sz w:val="24"/>
          <w:szCs w:val="24"/>
          <w:lang w:val="uk-UA"/>
        </w:rPr>
        <w:t>Зокрема, у справі № 22399/93</w:t>
      </w:r>
      <w:r w:rsidRPr="00BD3FA3">
        <w:rPr>
          <w:rFonts w:ascii="Times New Roman" w:hAnsi="Times New Roman" w:cs="Times New Roman"/>
          <w:i/>
          <w:iCs/>
          <w:sz w:val="24"/>
          <w:szCs w:val="24"/>
          <w:lang w:val="uk-UA"/>
        </w:rPr>
        <w:t xml:space="preserve">  </w:t>
      </w:r>
      <w:r w:rsidRPr="00BD3FA3">
        <w:rPr>
          <w:rFonts w:ascii="Times New Roman" w:hAnsi="Times New Roman" w:cs="Times New Roman"/>
          <w:iCs/>
          <w:sz w:val="24"/>
          <w:szCs w:val="24"/>
          <w:lang w:val="uk-UA"/>
        </w:rPr>
        <w:t>від 10.06.1996 р.</w:t>
      </w:r>
      <w:r w:rsidRPr="00BD3FA3">
        <w:rPr>
          <w:rFonts w:ascii="Times New Roman" w:hAnsi="Times New Roman" w:cs="Times New Roman"/>
          <w:i/>
          <w:iCs/>
          <w:sz w:val="24"/>
          <w:szCs w:val="24"/>
          <w:lang w:val="uk-UA"/>
        </w:rPr>
        <w:t xml:space="preserve"> </w:t>
      </w:r>
      <w:r w:rsidRPr="00BD3FA3">
        <w:rPr>
          <w:rFonts w:ascii="Times New Roman" w:hAnsi="Times New Roman" w:cs="Times New Roman"/>
          <w:iCs/>
          <w:sz w:val="24"/>
          <w:szCs w:val="24"/>
          <w:lang w:val="uk-UA"/>
        </w:rPr>
        <w:t>„Pullar v. United Kingdom"</w:t>
      </w:r>
      <w:r w:rsidRPr="00BD3FA3">
        <w:rPr>
          <w:rFonts w:ascii="Times New Roman" w:hAnsi="Times New Roman" w:cs="Times New Roman"/>
          <w:i/>
          <w:iCs/>
          <w:sz w:val="24"/>
          <w:szCs w:val="24"/>
          <w:lang w:val="uk-UA"/>
        </w:rPr>
        <w:t xml:space="preserve">, </w:t>
      </w:r>
      <w:r w:rsidRPr="00BD3FA3">
        <w:rPr>
          <w:rFonts w:ascii="Times New Roman" w:hAnsi="Times New Roman" w:cs="Times New Roman"/>
          <w:sz w:val="24"/>
          <w:szCs w:val="24"/>
          <w:lang w:val="uk-UA"/>
        </w:rPr>
        <w:t xml:space="preserve">Європейський суд вказав, що судова практика передбачає два критерії для встановлення безсторонності суду в сенсі п. 1 ст. 6 Конвенції. По-перше, потрібно встановити, що суд був суб`єктивно безсторонній, тобто жоден із його членів відкрито не проявляв упередженість та особисту зацікавленість. Особиста безсторонність презюмується доти, доки не буде доведено інше. По-друге, суд повинен бути об`єктивно безсторонній, тобто передбачається існування достатніх гарантій, щоб виключити будь-які сумніви щодо цього". </w:t>
      </w:r>
    </w:p>
    <w:p w:rsidR="00BD3FA3" w:rsidRPr="00BD3FA3" w:rsidRDefault="00ED26E5" w:rsidP="001A2E0C">
      <w:pPr>
        <w:pStyle w:val="1"/>
        <w:shd w:val="clear" w:color="auto" w:fill="auto"/>
        <w:spacing w:after="0" w:line="240" w:lineRule="auto"/>
        <w:ind w:right="20" w:firstLine="708"/>
        <w:jc w:val="both"/>
        <w:rPr>
          <w:sz w:val="24"/>
          <w:szCs w:val="24"/>
          <w:lang w:val="uk-UA"/>
        </w:rPr>
      </w:pPr>
      <w:r w:rsidRPr="00BD3FA3">
        <w:rPr>
          <w:sz w:val="24"/>
          <w:szCs w:val="24"/>
          <w:lang w:val="uk-UA"/>
        </w:rPr>
        <w:t>Роль судової влади полягає у стримуванні інших гілок влади в межах законності, у праві здійснення конституційного нагляду і судового контролю за ними. Рекомендація</w:t>
      </w:r>
      <w:r w:rsidR="001A2E0C">
        <w:rPr>
          <w:sz w:val="24"/>
          <w:szCs w:val="24"/>
          <w:lang w:val="uk-UA"/>
        </w:rPr>
        <w:t> </w:t>
      </w:r>
      <w:r w:rsidRPr="00BD3FA3">
        <w:rPr>
          <w:sz w:val="24"/>
          <w:szCs w:val="24"/>
          <w:lang w:val="uk-UA"/>
        </w:rPr>
        <w:t>(94) 12 Комітету Міністрів Ради Європи неодноразово підкреслювала, що виконавча і законодавча влади повинні гарантувати незалежність суддів та утримуватися від кроків, які б могли поставити її під загрозу.</w:t>
      </w:r>
    </w:p>
    <w:p w:rsidR="00BD3FA3" w:rsidRPr="009A0304" w:rsidRDefault="0054370D" w:rsidP="0054370D">
      <w:pPr>
        <w:pStyle w:val="1"/>
        <w:shd w:val="clear" w:color="auto" w:fill="auto"/>
        <w:spacing w:after="0" w:line="240" w:lineRule="auto"/>
        <w:ind w:right="20" w:firstLine="560"/>
        <w:jc w:val="both"/>
        <w:rPr>
          <w:sz w:val="24"/>
          <w:szCs w:val="24"/>
          <w:lang w:val="uk-UA"/>
        </w:rPr>
      </w:pPr>
      <w:r>
        <w:rPr>
          <w:sz w:val="24"/>
          <w:lang w:val="uk-UA"/>
        </w:rPr>
        <w:t>С</w:t>
      </w:r>
      <w:r w:rsidR="00A63932" w:rsidRPr="00BD3FA3">
        <w:rPr>
          <w:sz w:val="24"/>
          <w:lang w:val="uk-UA"/>
        </w:rPr>
        <w:t>удді повинні утримуватися від будь-яких дій, висловлювань, проявів, що можуть вказувати на порушення принципу безсторонності та знижують авторитет суду.</w:t>
      </w:r>
      <w:r>
        <w:rPr>
          <w:sz w:val="24"/>
          <w:lang w:val="uk-UA"/>
        </w:rPr>
        <w:t xml:space="preserve"> Н</w:t>
      </w:r>
      <w:r w:rsidR="00BD3FA3" w:rsidRPr="00BD3FA3">
        <w:rPr>
          <w:sz w:val="24"/>
          <w:lang w:val="uk-UA"/>
        </w:rPr>
        <w:t xml:space="preserve">еупередженість особистості судді щодо конкретного учасника судового розгляду і </w:t>
      </w:r>
      <w:r w:rsidR="00BD3FA3" w:rsidRPr="00BD3FA3">
        <w:rPr>
          <w:sz w:val="24"/>
          <w:lang w:val="uk-UA"/>
        </w:rPr>
        <w:lastRenderedPageBreak/>
        <w:t>неупередженість з результатах</w:t>
      </w:r>
      <w:r>
        <w:rPr>
          <w:sz w:val="24"/>
          <w:lang w:val="uk-UA"/>
        </w:rPr>
        <w:t xml:space="preserve"> справи п</w:t>
      </w:r>
      <w:r w:rsidR="00BD3FA3" w:rsidRPr="00BD3FA3">
        <w:rPr>
          <w:sz w:val="24"/>
          <w:lang w:val="uk-UA"/>
        </w:rPr>
        <w:t xml:space="preserve">ередбачає, що суддя перебуває в договірних, грошових, родинних або інших відносинах з однією зі сторін у справі. Неупередженість може здійснюватися через певного роду підкуп. Це не обов’язково пряма форма підкупу. У справі Білуха проти України учасниця процесу акцентувала увагу надіях голови місцевого суду, враховуючи те, що відповідач, будівельна фірма, безкоштовно забезпечила суд решітками для вікон та придбала комп’ютер, відремонтувала опалювальну систему приміщення суду. Суд ЕСПЛ визнав, що навіть такого роду дії можуть свідчити про відсутність безсторонності суду. Правовими гарантіями забезпечення цього принципу є можливість відводу або самовідводу судді, зазвичай вони відбуваються у наступних випадках: </w:t>
      </w:r>
      <w:r w:rsidR="00BD3FA3" w:rsidRPr="009A0304">
        <w:rPr>
          <w:sz w:val="24"/>
          <w:szCs w:val="24"/>
          <w:lang w:val="uk-UA"/>
        </w:rPr>
        <w:t>участь судді у прийнятті будь-яких судових рішень у справі на досудових стадіях провадження; особиста участь судді у справі як учасника провадження у справі; родинний зв’язок із стороною або іншою особою, яка бере участь у справі; особиста (пряма або опосередкована) зацікавленість судді в результатах справи або зацікавленість його родичів; інші обставини, які викликають сумнів у об’єктивності судді; наявність у колегіальному складі суду осіб, які є членами сім’ї, родичами між собою чи родичами одного з подружжя; заборона участі одного і того ж судді в розгляді справи у різних судових інстанціях, а також у тій самій інстанції в разі скасування попереднього рішення судом вищого рівня</w:t>
      </w:r>
      <w:r w:rsidR="009A0304" w:rsidRPr="009A0304">
        <w:rPr>
          <w:rStyle w:val="a7"/>
          <w:sz w:val="24"/>
          <w:szCs w:val="24"/>
          <w:lang w:val="uk-UA"/>
        </w:rPr>
        <w:footnoteReference w:id="2"/>
      </w:r>
      <w:r w:rsidR="00BD3FA3" w:rsidRPr="009A0304">
        <w:rPr>
          <w:sz w:val="24"/>
          <w:szCs w:val="24"/>
          <w:lang w:val="uk-UA"/>
        </w:rPr>
        <w:t>.</w:t>
      </w:r>
    </w:p>
    <w:p w:rsidR="00BD3FA3" w:rsidRPr="009A0304" w:rsidRDefault="00BD3FA3" w:rsidP="009A0304">
      <w:pPr>
        <w:spacing w:after="0"/>
        <w:ind w:firstLine="708"/>
        <w:jc w:val="both"/>
        <w:rPr>
          <w:rFonts w:ascii="Times New Roman" w:hAnsi="Times New Roman" w:cs="Times New Roman"/>
          <w:color w:val="000000"/>
          <w:sz w:val="24"/>
          <w:szCs w:val="24"/>
          <w:lang w:val="uk-UA" w:eastAsia="uk-UA" w:bidi="uk-UA"/>
        </w:rPr>
      </w:pPr>
      <w:r w:rsidRPr="009A0304">
        <w:rPr>
          <w:rFonts w:ascii="Times New Roman" w:hAnsi="Times New Roman" w:cs="Times New Roman"/>
          <w:color w:val="000000"/>
          <w:sz w:val="24"/>
          <w:szCs w:val="24"/>
          <w:lang w:val="uk-UA" w:eastAsia="uk-UA" w:bidi="uk-UA"/>
        </w:rPr>
        <w:t>Відповідно до п. 1.1. Європ</w:t>
      </w:r>
      <w:r w:rsidR="009A0304" w:rsidRPr="009A0304">
        <w:rPr>
          <w:rFonts w:ascii="Times New Roman" w:hAnsi="Times New Roman" w:cs="Times New Roman"/>
          <w:color w:val="000000"/>
          <w:sz w:val="24"/>
          <w:szCs w:val="24"/>
          <w:lang w:val="uk-UA" w:eastAsia="uk-UA" w:bidi="uk-UA"/>
        </w:rPr>
        <w:t xml:space="preserve">ейської хартії статусу суддів, </w:t>
      </w:r>
      <w:r w:rsidRPr="009A0304">
        <w:rPr>
          <w:rFonts w:ascii="Times New Roman" w:hAnsi="Times New Roman" w:cs="Times New Roman"/>
          <w:color w:val="000000"/>
          <w:sz w:val="24"/>
          <w:szCs w:val="24"/>
          <w:lang w:val="uk-UA" w:eastAsia="uk-UA" w:bidi="uk-UA"/>
        </w:rPr>
        <w:t>статус суддів означає забезпечення компетентності, незалежності і неупередженості, яких будь-яка людина законно очікує від судових органів і від кожного судді, якому довірено захист його прав. Він виключає будь-яке положення і будь-яку процедуру, які можуть похитнути довіру до цієї компетентності, незалеж</w:t>
      </w:r>
      <w:r w:rsidR="009A0304" w:rsidRPr="009A0304">
        <w:rPr>
          <w:rFonts w:ascii="Times New Roman" w:hAnsi="Times New Roman" w:cs="Times New Roman"/>
          <w:color w:val="000000"/>
          <w:sz w:val="24"/>
          <w:szCs w:val="24"/>
          <w:lang w:val="uk-UA" w:eastAsia="uk-UA" w:bidi="uk-UA"/>
        </w:rPr>
        <w:t>ності і неупередженості.</w:t>
      </w:r>
    </w:p>
    <w:p w:rsidR="009A0304" w:rsidRDefault="009A0304" w:rsidP="009A0304">
      <w:pPr>
        <w:spacing w:after="0"/>
        <w:ind w:firstLine="708"/>
        <w:jc w:val="both"/>
        <w:rPr>
          <w:rFonts w:ascii="Times New Roman" w:hAnsi="Times New Roman" w:cs="Times New Roman"/>
          <w:color w:val="000000"/>
          <w:sz w:val="24"/>
          <w:szCs w:val="24"/>
          <w:lang w:val="uk-UA" w:eastAsia="uk-UA" w:bidi="uk-UA"/>
        </w:rPr>
      </w:pPr>
      <w:r w:rsidRPr="009A0304">
        <w:rPr>
          <w:rFonts w:ascii="Times New Roman" w:hAnsi="Times New Roman" w:cs="Times New Roman"/>
          <w:color w:val="000000"/>
          <w:sz w:val="24"/>
          <w:szCs w:val="24"/>
          <w:lang w:val="uk-UA" w:eastAsia="uk-UA" w:bidi="uk-UA"/>
        </w:rPr>
        <w:t xml:space="preserve">В Україні існують </w:t>
      </w:r>
      <w:r>
        <w:rPr>
          <w:rFonts w:ascii="Times New Roman" w:hAnsi="Times New Roman" w:cs="Times New Roman"/>
          <w:color w:val="000000"/>
          <w:sz w:val="24"/>
          <w:szCs w:val="24"/>
          <w:lang w:val="uk-UA" w:eastAsia="uk-UA" w:bidi="uk-UA"/>
        </w:rPr>
        <w:t>такі публічні інструменти для перевірки безсторонності суддів, як щорічні декларації доброчесності та родинних зв’язків</w:t>
      </w:r>
      <w:r w:rsidR="001A2E0C">
        <w:rPr>
          <w:rFonts w:ascii="Times New Roman" w:hAnsi="Times New Roman" w:cs="Times New Roman"/>
          <w:color w:val="000000"/>
          <w:sz w:val="24"/>
          <w:szCs w:val="24"/>
          <w:lang w:val="uk-UA" w:eastAsia="uk-UA" w:bidi="uk-UA"/>
        </w:rPr>
        <w:t xml:space="preserve"> суддів</w:t>
      </w:r>
      <w:r>
        <w:rPr>
          <w:rFonts w:ascii="Times New Roman" w:hAnsi="Times New Roman" w:cs="Times New Roman"/>
          <w:color w:val="000000"/>
          <w:sz w:val="24"/>
          <w:szCs w:val="24"/>
          <w:lang w:val="uk-UA" w:eastAsia="uk-UA" w:bidi="uk-UA"/>
        </w:rPr>
        <w:t>, що опубліковуються на сайті Вищої кваліфікаційної комісії суддів України. Про те питання дотримання принципу безсторонності суду у кожному конкретному процесі</w:t>
      </w:r>
      <w:r w:rsidR="001A2E0C">
        <w:rPr>
          <w:rFonts w:ascii="Times New Roman" w:hAnsi="Times New Roman" w:cs="Times New Roman"/>
          <w:color w:val="000000"/>
          <w:sz w:val="24"/>
          <w:szCs w:val="24"/>
          <w:lang w:val="uk-UA" w:eastAsia="uk-UA" w:bidi="uk-UA"/>
        </w:rPr>
        <w:t>,</w:t>
      </w:r>
      <w:r>
        <w:rPr>
          <w:rFonts w:ascii="Times New Roman" w:hAnsi="Times New Roman" w:cs="Times New Roman"/>
          <w:color w:val="000000"/>
          <w:sz w:val="24"/>
          <w:szCs w:val="24"/>
          <w:lang w:val="uk-UA" w:eastAsia="uk-UA" w:bidi="uk-UA"/>
        </w:rPr>
        <w:t xml:space="preserve"> у більшості випадків лежить на доброчесності самого складу суду, який у настанні випадків, що можуть піддати обґрунтованому сумніву безсторонність суду у конкретному </w:t>
      </w:r>
      <w:r w:rsidR="001A2E0C">
        <w:rPr>
          <w:rFonts w:ascii="Times New Roman" w:hAnsi="Times New Roman" w:cs="Times New Roman"/>
          <w:color w:val="000000"/>
          <w:sz w:val="24"/>
          <w:szCs w:val="24"/>
          <w:lang w:val="uk-UA" w:eastAsia="uk-UA" w:bidi="uk-UA"/>
        </w:rPr>
        <w:t xml:space="preserve">судовому </w:t>
      </w:r>
      <w:r>
        <w:rPr>
          <w:rFonts w:ascii="Times New Roman" w:hAnsi="Times New Roman" w:cs="Times New Roman"/>
          <w:color w:val="000000"/>
          <w:sz w:val="24"/>
          <w:szCs w:val="24"/>
          <w:lang w:val="uk-UA" w:eastAsia="uk-UA" w:bidi="uk-UA"/>
        </w:rPr>
        <w:t>процесі повинен заявляти самовідвід.</w:t>
      </w:r>
    </w:p>
    <w:p w:rsidR="009A0304" w:rsidRDefault="009A0304" w:rsidP="009A0304">
      <w:pPr>
        <w:spacing w:after="0"/>
        <w:ind w:firstLine="708"/>
        <w:jc w:val="both"/>
        <w:rPr>
          <w:rFonts w:ascii="Times New Roman" w:hAnsi="Times New Roman" w:cs="Times New Roman"/>
          <w:color w:val="000000"/>
          <w:sz w:val="24"/>
          <w:szCs w:val="24"/>
          <w:lang w:val="uk-UA" w:eastAsia="uk-UA" w:bidi="uk-UA"/>
        </w:rPr>
      </w:pPr>
    </w:p>
    <w:p w:rsidR="000324AF" w:rsidRDefault="000324AF" w:rsidP="009A0304">
      <w:pPr>
        <w:spacing w:after="0"/>
        <w:ind w:firstLine="708"/>
        <w:jc w:val="both"/>
        <w:rPr>
          <w:rFonts w:ascii="Times New Roman" w:hAnsi="Times New Roman" w:cs="Times New Roman"/>
          <w:color w:val="000000"/>
          <w:sz w:val="24"/>
          <w:szCs w:val="24"/>
          <w:lang w:val="uk-UA" w:eastAsia="uk-UA" w:bidi="uk-UA"/>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2"/>
        <w:gridCol w:w="4673"/>
      </w:tblGrid>
      <w:tr w:rsidR="00DE2D81" w:rsidTr="00E321EC">
        <w:tc>
          <w:tcPr>
            <w:tcW w:w="4672" w:type="dxa"/>
          </w:tcPr>
          <w:p w:rsidR="00DE2D81" w:rsidRDefault="00DE2D81" w:rsidP="00E321EC">
            <w:pPr>
              <w:jc w:val="both"/>
              <w:rPr>
                <w:rStyle w:val="tlid-translation"/>
                <w:rFonts w:ascii="Times New Roman" w:hAnsi="Times New Roman" w:cs="Times New Roman"/>
                <w:sz w:val="24"/>
                <w:szCs w:val="24"/>
              </w:rPr>
            </w:pPr>
          </w:p>
        </w:tc>
        <w:tc>
          <w:tcPr>
            <w:tcW w:w="4673" w:type="dxa"/>
          </w:tcPr>
          <w:p w:rsidR="00DE2D81" w:rsidRPr="007424DE" w:rsidRDefault="00DE2D81" w:rsidP="00E321EC">
            <w:pPr>
              <w:ind w:firstLine="709"/>
              <w:jc w:val="right"/>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Сергій Бізденежний</w:t>
            </w:r>
          </w:p>
          <w:p w:rsidR="00DE2D81" w:rsidRDefault="00DE2D81" w:rsidP="00E321EC">
            <w:pPr>
              <w:jc w:val="right"/>
              <w:rPr>
                <w:rStyle w:val="tlid-translation"/>
                <w:rFonts w:ascii="Times New Roman" w:hAnsi="Times New Roman" w:cs="Times New Roman"/>
                <w:i/>
                <w:sz w:val="16"/>
                <w:szCs w:val="16"/>
              </w:rPr>
            </w:pPr>
            <w:r w:rsidRPr="007424DE">
              <w:rPr>
                <w:rStyle w:val="tlid-translation"/>
                <w:rFonts w:ascii="Times New Roman" w:hAnsi="Times New Roman" w:cs="Times New Roman"/>
                <w:i/>
                <w:sz w:val="16"/>
                <w:szCs w:val="16"/>
              </w:rPr>
              <w:t>адвокат, Регіональний координатор взаємодії</w:t>
            </w:r>
          </w:p>
          <w:p w:rsidR="00DE2D81" w:rsidRDefault="00DE2D81" w:rsidP="00E321EC">
            <w:pPr>
              <w:jc w:val="right"/>
              <w:rPr>
                <w:rStyle w:val="tlid-translation"/>
                <w:rFonts w:ascii="Times New Roman" w:hAnsi="Times New Roman" w:cs="Times New Roman"/>
                <w:i/>
                <w:sz w:val="16"/>
                <w:szCs w:val="16"/>
              </w:rPr>
            </w:pPr>
            <w:r w:rsidRPr="007424DE">
              <w:rPr>
                <w:rStyle w:val="tlid-translation"/>
                <w:rFonts w:ascii="Times New Roman" w:hAnsi="Times New Roman" w:cs="Times New Roman"/>
                <w:i/>
                <w:sz w:val="16"/>
                <w:szCs w:val="16"/>
              </w:rPr>
              <w:t xml:space="preserve"> з громадськістю Уповноваженого Верховної Ради України </w:t>
            </w:r>
          </w:p>
          <w:p w:rsidR="00DE2D81" w:rsidRPr="007424DE" w:rsidRDefault="00DE2D81" w:rsidP="00E321EC">
            <w:pPr>
              <w:jc w:val="right"/>
              <w:rPr>
                <w:rStyle w:val="tlid-translation"/>
                <w:rFonts w:ascii="Times New Roman" w:hAnsi="Times New Roman" w:cs="Times New Roman"/>
                <w:i/>
                <w:sz w:val="16"/>
                <w:szCs w:val="16"/>
              </w:rPr>
            </w:pPr>
            <w:r w:rsidRPr="007424DE">
              <w:rPr>
                <w:rStyle w:val="tlid-translation"/>
                <w:rFonts w:ascii="Times New Roman" w:hAnsi="Times New Roman" w:cs="Times New Roman"/>
                <w:i/>
                <w:sz w:val="16"/>
                <w:szCs w:val="16"/>
              </w:rPr>
              <w:t>з прав людини в Запорізькій області</w:t>
            </w:r>
          </w:p>
        </w:tc>
      </w:tr>
    </w:tbl>
    <w:p w:rsidR="009A0304" w:rsidRPr="00DE2D81" w:rsidRDefault="009A0304" w:rsidP="009A0304">
      <w:pPr>
        <w:spacing w:after="0"/>
        <w:ind w:firstLine="708"/>
        <w:jc w:val="both"/>
        <w:rPr>
          <w:rFonts w:ascii="Times New Roman" w:hAnsi="Times New Roman" w:cs="Times New Roman"/>
          <w:sz w:val="24"/>
          <w:szCs w:val="24"/>
        </w:rPr>
      </w:pPr>
    </w:p>
    <w:sectPr w:rsidR="009A0304" w:rsidRPr="00DE2D8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D7" w:rsidRDefault="004B1FD7" w:rsidP="008A1F5D">
      <w:pPr>
        <w:spacing w:after="0" w:line="240" w:lineRule="auto"/>
      </w:pPr>
      <w:r>
        <w:separator/>
      </w:r>
    </w:p>
  </w:endnote>
  <w:endnote w:type="continuationSeparator" w:id="0">
    <w:p w:rsidR="004B1FD7" w:rsidRDefault="004B1FD7" w:rsidP="008A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160906"/>
      <w:docPartObj>
        <w:docPartGallery w:val="Page Numbers (Bottom of Page)"/>
        <w:docPartUnique/>
      </w:docPartObj>
    </w:sdtPr>
    <w:sdtEndPr/>
    <w:sdtContent>
      <w:p w:rsidR="000324AF" w:rsidRDefault="000324AF">
        <w:pPr>
          <w:pStyle w:val="aa"/>
          <w:jc w:val="right"/>
        </w:pPr>
        <w:r>
          <w:fldChar w:fldCharType="begin"/>
        </w:r>
        <w:r>
          <w:instrText>PAGE   \* MERGEFORMAT</w:instrText>
        </w:r>
        <w:r>
          <w:fldChar w:fldCharType="separate"/>
        </w:r>
        <w:r w:rsidR="00FF5D45">
          <w:rPr>
            <w:noProof/>
          </w:rPr>
          <w:t>1</w:t>
        </w:r>
        <w:r>
          <w:fldChar w:fldCharType="end"/>
        </w:r>
      </w:p>
    </w:sdtContent>
  </w:sdt>
  <w:p w:rsidR="000324AF" w:rsidRDefault="000324A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D7" w:rsidRDefault="004B1FD7" w:rsidP="008A1F5D">
      <w:pPr>
        <w:spacing w:after="0" w:line="240" w:lineRule="auto"/>
      </w:pPr>
      <w:r>
        <w:separator/>
      </w:r>
    </w:p>
  </w:footnote>
  <w:footnote w:type="continuationSeparator" w:id="0">
    <w:p w:rsidR="004B1FD7" w:rsidRDefault="004B1FD7" w:rsidP="008A1F5D">
      <w:pPr>
        <w:spacing w:after="0" w:line="240" w:lineRule="auto"/>
      </w:pPr>
      <w:r>
        <w:continuationSeparator/>
      </w:r>
    </w:p>
  </w:footnote>
  <w:footnote w:id="1">
    <w:p w:rsidR="008A1F5D" w:rsidRPr="008A1F5D" w:rsidRDefault="008A1F5D">
      <w:pPr>
        <w:pStyle w:val="a5"/>
        <w:rPr>
          <w:lang w:val="uk-UA"/>
        </w:rPr>
      </w:pPr>
      <w:r>
        <w:rPr>
          <w:rStyle w:val="a7"/>
        </w:rPr>
        <w:footnoteRef/>
      </w:r>
      <w:r>
        <w:t xml:space="preserve"> </w:t>
      </w:r>
      <w:r w:rsidRPr="008A1F5D">
        <w:rPr>
          <w:rFonts w:ascii="Times New Roman" w:hAnsi="Times New Roman" w:cs="Times New Roman"/>
          <w:color w:val="000000"/>
          <w:sz w:val="16"/>
          <w:lang w:val="uk-UA" w:eastAsia="uk-UA" w:bidi="uk-UA"/>
        </w:rPr>
        <w:t>Ґасс Ш. Деякі спостереження щодо незалежності суду, як вона презентована у міжнарод</w:t>
      </w:r>
      <w:r w:rsidRPr="008A1F5D">
        <w:rPr>
          <w:rFonts w:ascii="Times New Roman" w:hAnsi="Times New Roman" w:cs="Times New Roman"/>
          <w:color w:val="000000"/>
          <w:sz w:val="16"/>
          <w:lang w:val="uk-UA" w:eastAsia="uk-UA" w:bidi="uk-UA"/>
        </w:rPr>
        <w:softHyphen/>
        <w:t>них документах та досвіді / Ш. Ґасс // Вісник Центру суддівських студій. - 2007. - №10.</w:t>
      </w:r>
    </w:p>
  </w:footnote>
  <w:footnote w:id="2">
    <w:p w:rsidR="009A0304" w:rsidRPr="009A0304" w:rsidRDefault="009A0304" w:rsidP="009A0304">
      <w:pPr>
        <w:jc w:val="both"/>
        <w:rPr>
          <w:rFonts w:ascii="Times New Roman" w:hAnsi="Times New Roman" w:cs="Times New Roman"/>
          <w:sz w:val="16"/>
          <w:lang w:val="uk-UA"/>
        </w:rPr>
      </w:pPr>
      <w:r>
        <w:rPr>
          <w:rStyle w:val="a7"/>
        </w:rPr>
        <w:footnoteRef/>
      </w:r>
      <w:r>
        <w:t xml:space="preserve"> </w:t>
      </w:r>
      <w:bookmarkStart w:id="1" w:name="bookmark0"/>
      <w:r w:rsidRPr="00605BEC">
        <w:rPr>
          <w:rFonts w:ascii="Times New Roman" w:hAnsi="Times New Roman" w:cs="Times New Roman"/>
          <w:sz w:val="16"/>
          <w:lang w:val="uk-UA"/>
        </w:rPr>
        <w:t>Право на справедливий суд: проблеми незалежності та безсторонності</w:t>
      </w:r>
      <w:bookmarkEnd w:id="1"/>
      <w:r w:rsidRPr="00605BEC">
        <w:rPr>
          <w:rFonts w:ascii="Times New Roman" w:hAnsi="Times New Roman" w:cs="Times New Roman"/>
          <w:sz w:val="16"/>
          <w:lang w:val="uk-UA"/>
        </w:rPr>
        <w:t>, Н.М. Грень, УДК 347.962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5F"/>
    <w:rsid w:val="000324AF"/>
    <w:rsid w:val="001A2E0C"/>
    <w:rsid w:val="003B585F"/>
    <w:rsid w:val="004B1FD7"/>
    <w:rsid w:val="0054370D"/>
    <w:rsid w:val="007208F6"/>
    <w:rsid w:val="008A1F5D"/>
    <w:rsid w:val="009937E2"/>
    <w:rsid w:val="009A0304"/>
    <w:rsid w:val="00A63932"/>
    <w:rsid w:val="00B446C4"/>
    <w:rsid w:val="00BD3FA3"/>
    <w:rsid w:val="00DE2D81"/>
    <w:rsid w:val="00ED26E5"/>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3F135-B2B4-4BCD-847E-C9EA0B73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7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8A1F5D"/>
    <w:rPr>
      <w:rFonts w:ascii="Times New Roman" w:eastAsia="Times New Roman" w:hAnsi="Times New Roman" w:cs="Times New Roman"/>
      <w:spacing w:val="4"/>
      <w:sz w:val="20"/>
      <w:szCs w:val="20"/>
      <w:shd w:val="clear" w:color="auto" w:fill="FFFFFF"/>
    </w:rPr>
  </w:style>
  <w:style w:type="paragraph" w:customStyle="1" w:styleId="1">
    <w:name w:val="Основной текст1"/>
    <w:basedOn w:val="a"/>
    <w:link w:val="a4"/>
    <w:rsid w:val="008A1F5D"/>
    <w:pPr>
      <w:widowControl w:val="0"/>
      <w:shd w:val="clear" w:color="auto" w:fill="FFFFFF"/>
      <w:spacing w:after="360" w:line="274" w:lineRule="exact"/>
      <w:jc w:val="right"/>
    </w:pPr>
    <w:rPr>
      <w:rFonts w:ascii="Times New Roman" w:eastAsia="Times New Roman" w:hAnsi="Times New Roman" w:cs="Times New Roman"/>
      <w:spacing w:val="4"/>
      <w:sz w:val="20"/>
      <w:szCs w:val="20"/>
    </w:rPr>
  </w:style>
  <w:style w:type="paragraph" w:styleId="a5">
    <w:name w:val="footnote text"/>
    <w:basedOn w:val="a"/>
    <w:link w:val="a6"/>
    <w:uiPriority w:val="99"/>
    <w:semiHidden/>
    <w:unhideWhenUsed/>
    <w:rsid w:val="008A1F5D"/>
    <w:pPr>
      <w:spacing w:after="0" w:line="240" w:lineRule="auto"/>
    </w:pPr>
    <w:rPr>
      <w:sz w:val="20"/>
      <w:szCs w:val="20"/>
    </w:rPr>
  </w:style>
  <w:style w:type="character" w:customStyle="1" w:styleId="a6">
    <w:name w:val="Текст сноски Знак"/>
    <w:basedOn w:val="a0"/>
    <w:link w:val="a5"/>
    <w:uiPriority w:val="99"/>
    <w:semiHidden/>
    <w:rsid w:val="008A1F5D"/>
    <w:rPr>
      <w:sz w:val="20"/>
      <w:szCs w:val="20"/>
    </w:rPr>
  </w:style>
  <w:style w:type="character" w:styleId="a7">
    <w:name w:val="footnote reference"/>
    <w:basedOn w:val="a0"/>
    <w:uiPriority w:val="99"/>
    <w:semiHidden/>
    <w:unhideWhenUsed/>
    <w:rsid w:val="008A1F5D"/>
    <w:rPr>
      <w:vertAlign w:val="superscript"/>
    </w:rPr>
  </w:style>
  <w:style w:type="character" w:customStyle="1" w:styleId="21pt">
    <w:name w:val="Основной текст (2) + Интервал 1 pt"/>
    <w:basedOn w:val="a0"/>
    <w:rsid w:val="00BD3FA3"/>
    <w:rPr>
      <w:rFonts w:ascii="Times New Roman" w:eastAsia="Times New Roman" w:hAnsi="Times New Roman" w:cs="Times New Roman"/>
      <w:b/>
      <w:bCs/>
      <w:i w:val="0"/>
      <w:iCs w:val="0"/>
      <w:smallCaps w:val="0"/>
      <w:strike w:val="0"/>
      <w:color w:val="000000"/>
      <w:spacing w:val="26"/>
      <w:w w:val="100"/>
      <w:position w:val="0"/>
      <w:sz w:val="20"/>
      <w:szCs w:val="20"/>
      <w:u w:val="none"/>
      <w:lang w:val="ru-RU" w:eastAsia="ru-RU" w:bidi="ru-RU"/>
    </w:rPr>
  </w:style>
  <w:style w:type="character" w:customStyle="1" w:styleId="tlid-translation">
    <w:name w:val="tlid-translation"/>
    <w:basedOn w:val="a0"/>
    <w:rsid w:val="00DE2D81"/>
  </w:style>
  <w:style w:type="paragraph" w:styleId="a8">
    <w:name w:val="header"/>
    <w:basedOn w:val="a"/>
    <w:link w:val="a9"/>
    <w:uiPriority w:val="99"/>
    <w:unhideWhenUsed/>
    <w:rsid w:val="000324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24AF"/>
  </w:style>
  <w:style w:type="paragraph" w:styleId="aa">
    <w:name w:val="footer"/>
    <w:basedOn w:val="a"/>
    <w:link w:val="ab"/>
    <w:uiPriority w:val="99"/>
    <w:unhideWhenUsed/>
    <w:rsid w:val="000324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8E10-FFF6-4879-B798-75015E44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Виталий</cp:lastModifiedBy>
  <cp:revision>2</cp:revision>
  <dcterms:created xsi:type="dcterms:W3CDTF">2020-03-22T16:58:00Z</dcterms:created>
  <dcterms:modified xsi:type="dcterms:W3CDTF">2020-03-22T16:58:00Z</dcterms:modified>
</cp:coreProperties>
</file>